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6EBDD6" w14:textId="77777777" w:rsidR="00ED5EBF" w:rsidRDefault="00ED5EBF">
      <w:pPr>
        <w:spacing w:line="360" w:lineRule="auto"/>
        <w:rPr>
          <w:sz w:val="48"/>
          <w:szCs w:val="48"/>
        </w:rPr>
      </w:pPr>
      <w:bookmarkStart w:id="0" w:name="_GoBack"/>
      <w:bookmarkEnd w:id="0"/>
    </w:p>
    <w:p w14:paraId="01758C7E" w14:textId="77777777" w:rsidR="00ED5EBF" w:rsidRDefault="00ED5EBF">
      <w:pPr>
        <w:spacing w:line="360" w:lineRule="auto"/>
        <w:rPr>
          <w:sz w:val="48"/>
          <w:szCs w:val="48"/>
        </w:rPr>
      </w:pPr>
    </w:p>
    <w:p w14:paraId="159B77C5" w14:textId="77777777" w:rsidR="00ED5EBF" w:rsidRDefault="002034C8">
      <w:pPr>
        <w:spacing w:line="360" w:lineRule="auto"/>
        <w:jc w:val="center"/>
        <w:rPr>
          <w:b/>
          <w:sz w:val="56"/>
          <w:szCs w:val="56"/>
        </w:rPr>
      </w:pPr>
      <w:r>
        <w:rPr>
          <w:rFonts w:hint="eastAsia"/>
          <w:b/>
          <w:sz w:val="56"/>
          <w:szCs w:val="56"/>
        </w:rPr>
        <w:t>首都金融法讯周刊</w:t>
      </w:r>
    </w:p>
    <w:p w14:paraId="084E8AAD" w14:textId="77777777" w:rsidR="00ED5EBF" w:rsidRDefault="002034C8">
      <w:pPr>
        <w:spacing w:line="360" w:lineRule="auto"/>
        <w:jc w:val="center"/>
        <w:rPr>
          <w:b/>
          <w:sz w:val="56"/>
          <w:szCs w:val="56"/>
        </w:rPr>
      </w:pPr>
      <w:r>
        <w:rPr>
          <w:rFonts w:hint="eastAsia"/>
          <w:b/>
          <w:sz w:val="56"/>
          <w:szCs w:val="56"/>
        </w:rPr>
        <w:t>2018.3.10-2018.3.16</w:t>
      </w:r>
    </w:p>
    <w:p w14:paraId="482AC01D" w14:textId="77777777" w:rsidR="00ED5EBF" w:rsidRDefault="002034C8">
      <w:pPr>
        <w:spacing w:line="360" w:lineRule="auto"/>
        <w:jc w:val="center"/>
        <w:rPr>
          <w:b/>
          <w:sz w:val="56"/>
          <w:szCs w:val="56"/>
        </w:rPr>
      </w:pPr>
      <w:r>
        <w:rPr>
          <w:rFonts w:hint="eastAsia"/>
          <w:b/>
          <w:sz w:val="56"/>
          <w:szCs w:val="56"/>
        </w:rPr>
        <w:t>（第</w:t>
      </w:r>
      <w:r>
        <w:rPr>
          <w:rFonts w:hint="eastAsia"/>
          <w:b/>
          <w:sz w:val="56"/>
          <w:szCs w:val="56"/>
        </w:rPr>
        <w:t>11</w:t>
      </w:r>
      <w:r>
        <w:rPr>
          <w:rFonts w:hint="eastAsia"/>
          <w:b/>
          <w:sz w:val="56"/>
          <w:szCs w:val="56"/>
        </w:rPr>
        <w:t>期）</w:t>
      </w:r>
    </w:p>
    <w:p w14:paraId="2B18EFA4" w14:textId="77777777" w:rsidR="00ED5EBF" w:rsidRDefault="00ED5EBF">
      <w:pPr>
        <w:spacing w:line="360" w:lineRule="auto"/>
        <w:jc w:val="center"/>
        <w:rPr>
          <w:sz w:val="56"/>
          <w:szCs w:val="56"/>
        </w:rPr>
      </w:pPr>
    </w:p>
    <w:p w14:paraId="76AE334D" w14:textId="77777777" w:rsidR="00ED5EBF" w:rsidRDefault="00ED5EBF">
      <w:pPr>
        <w:spacing w:line="360" w:lineRule="auto"/>
        <w:jc w:val="center"/>
        <w:rPr>
          <w:sz w:val="56"/>
          <w:szCs w:val="56"/>
        </w:rPr>
      </w:pPr>
    </w:p>
    <w:p w14:paraId="13F3112E" w14:textId="77777777" w:rsidR="00ED5EBF" w:rsidRDefault="00ED5EBF">
      <w:pPr>
        <w:spacing w:line="360" w:lineRule="auto"/>
        <w:jc w:val="center"/>
        <w:rPr>
          <w:sz w:val="56"/>
          <w:szCs w:val="56"/>
        </w:rPr>
      </w:pPr>
    </w:p>
    <w:p w14:paraId="6EE6BD18" w14:textId="77777777" w:rsidR="00ED5EBF" w:rsidRDefault="00ED5EBF">
      <w:pPr>
        <w:spacing w:line="360" w:lineRule="auto"/>
        <w:jc w:val="center"/>
        <w:rPr>
          <w:sz w:val="56"/>
          <w:szCs w:val="56"/>
        </w:rPr>
      </w:pPr>
    </w:p>
    <w:p w14:paraId="24F12214" w14:textId="77777777" w:rsidR="00ED5EBF" w:rsidRDefault="00ED5EBF">
      <w:pPr>
        <w:spacing w:line="360" w:lineRule="auto"/>
        <w:jc w:val="center"/>
        <w:rPr>
          <w:sz w:val="56"/>
          <w:szCs w:val="56"/>
        </w:rPr>
      </w:pPr>
    </w:p>
    <w:p w14:paraId="51B52385" w14:textId="77777777" w:rsidR="00ED5EBF" w:rsidRDefault="00ED5EBF">
      <w:pPr>
        <w:spacing w:line="360" w:lineRule="auto"/>
        <w:rPr>
          <w:b/>
          <w:sz w:val="48"/>
          <w:szCs w:val="48"/>
        </w:rPr>
      </w:pPr>
    </w:p>
    <w:p w14:paraId="2D207F62" w14:textId="77777777" w:rsidR="00ED5EBF" w:rsidRDefault="00ED5EBF">
      <w:pPr>
        <w:spacing w:line="360" w:lineRule="auto"/>
        <w:jc w:val="center"/>
        <w:rPr>
          <w:b/>
          <w:sz w:val="48"/>
          <w:szCs w:val="48"/>
        </w:rPr>
      </w:pPr>
    </w:p>
    <w:p w14:paraId="52C392D0" w14:textId="77777777" w:rsidR="00ED5EBF" w:rsidRDefault="00ED5EBF">
      <w:pPr>
        <w:spacing w:line="360" w:lineRule="auto"/>
        <w:rPr>
          <w:b/>
          <w:sz w:val="48"/>
          <w:szCs w:val="48"/>
        </w:rPr>
      </w:pPr>
    </w:p>
    <w:p w14:paraId="33E428F4" w14:textId="77777777" w:rsidR="00ED5EBF" w:rsidRDefault="002034C8">
      <w:pPr>
        <w:spacing w:line="360" w:lineRule="auto"/>
        <w:jc w:val="center"/>
        <w:rPr>
          <w:b/>
          <w:sz w:val="48"/>
          <w:szCs w:val="48"/>
        </w:rPr>
      </w:pPr>
      <w:r>
        <w:rPr>
          <w:rFonts w:hint="eastAsia"/>
          <w:b/>
          <w:sz w:val="48"/>
          <w:szCs w:val="48"/>
        </w:rPr>
        <w:t>北京市中永律师事务所</w:t>
      </w:r>
    </w:p>
    <w:p w14:paraId="5303E7FD" w14:textId="77777777" w:rsidR="00ED5EBF" w:rsidRDefault="00ED5EBF">
      <w:pPr>
        <w:spacing w:line="360" w:lineRule="auto"/>
        <w:jc w:val="center"/>
        <w:rPr>
          <w:b/>
          <w:sz w:val="48"/>
          <w:szCs w:val="48"/>
        </w:rPr>
      </w:pPr>
    </w:p>
    <w:p w14:paraId="57E7BC76" w14:textId="77777777" w:rsidR="00ED5EBF" w:rsidRDefault="002034C8">
      <w:pPr>
        <w:pStyle w:val="a3"/>
        <w:ind w:leftChars="41" w:left="98"/>
        <w:jc w:val="center"/>
      </w:pPr>
      <w:r>
        <w:rPr>
          <w:rFonts w:hint="eastAsia"/>
        </w:rPr>
        <w:t>201</w:t>
      </w:r>
      <w:r>
        <w:rPr>
          <w:rFonts w:hint="eastAsia"/>
        </w:rPr>
        <w:t>8</w:t>
      </w:r>
      <w:r>
        <w:rPr>
          <w:rFonts w:hint="eastAsia"/>
        </w:rPr>
        <w:t>年</w:t>
      </w:r>
    </w:p>
    <w:p w14:paraId="7035D5C1" w14:textId="77777777" w:rsidR="00ED5EBF" w:rsidRDefault="00ED5EBF">
      <w:pPr>
        <w:spacing w:line="360" w:lineRule="auto"/>
        <w:jc w:val="center"/>
        <w:rPr>
          <w:b/>
          <w:sz w:val="48"/>
          <w:szCs w:val="48"/>
        </w:rPr>
      </w:pPr>
    </w:p>
    <w:p w14:paraId="5C56339D" w14:textId="77777777" w:rsidR="00ED5EBF" w:rsidRDefault="00ED5EBF">
      <w:pPr>
        <w:spacing w:line="360" w:lineRule="auto"/>
        <w:jc w:val="center"/>
        <w:rPr>
          <w:b/>
          <w:sz w:val="48"/>
          <w:szCs w:val="48"/>
        </w:rPr>
      </w:pPr>
    </w:p>
    <w:p w14:paraId="7206FA74" w14:textId="77777777" w:rsidR="00ED5EBF" w:rsidRDefault="00ED5EBF">
      <w:pPr>
        <w:spacing w:line="360" w:lineRule="auto"/>
        <w:jc w:val="center"/>
        <w:rPr>
          <w:b/>
          <w:sz w:val="28"/>
          <w:szCs w:val="28"/>
        </w:rPr>
        <w:sectPr w:rsidR="00ED5EBF">
          <w:pgSz w:w="11900" w:h="16840"/>
          <w:pgMar w:top="1440" w:right="1800" w:bottom="1440" w:left="1800" w:header="851" w:footer="992" w:gutter="0"/>
          <w:cols w:space="425"/>
          <w:docGrid w:type="lines" w:linePitch="312"/>
        </w:sectPr>
      </w:pPr>
    </w:p>
    <w:p w14:paraId="10C32DFA" w14:textId="77777777" w:rsidR="00ED5EBF" w:rsidRDefault="002034C8">
      <w:pPr>
        <w:spacing w:line="360" w:lineRule="auto"/>
        <w:jc w:val="center"/>
        <w:rPr>
          <w:b/>
          <w:sz w:val="28"/>
          <w:szCs w:val="28"/>
        </w:rPr>
      </w:pPr>
      <w:r>
        <w:rPr>
          <w:rFonts w:hint="eastAsia"/>
          <w:b/>
          <w:sz w:val="28"/>
          <w:szCs w:val="28"/>
        </w:rPr>
        <w:lastRenderedPageBreak/>
        <w:t>首都金融法讯周刊</w:t>
      </w:r>
    </w:p>
    <w:p w14:paraId="2AC790C9" w14:textId="77777777" w:rsidR="00ED5EBF" w:rsidRDefault="00ED5EBF">
      <w:pPr>
        <w:pStyle w:val="11"/>
        <w:tabs>
          <w:tab w:val="right" w:leader="hyphen" w:pos="8300"/>
        </w:tabs>
        <w:rPr>
          <w:b/>
          <w:sz w:val="28"/>
          <w:szCs w:val="28"/>
        </w:rPr>
      </w:pPr>
    </w:p>
    <w:p w14:paraId="450A3501" w14:textId="77777777" w:rsidR="00ED5EBF" w:rsidRDefault="002034C8">
      <w:pPr>
        <w:pStyle w:val="11"/>
        <w:tabs>
          <w:tab w:val="right" w:leader="hyphen" w:pos="8300"/>
        </w:tabs>
        <w:spacing w:line="360" w:lineRule="auto"/>
        <w:rPr>
          <w:rFonts w:ascii="仿宋" w:eastAsia="仿宋" w:hAnsi="仿宋" w:cs="仿宋"/>
          <w:b/>
          <w:bCs/>
        </w:rPr>
      </w:pPr>
      <w:r>
        <w:rPr>
          <w:rFonts w:ascii="仿宋" w:eastAsia="仿宋" w:hAnsi="仿宋" w:cs="仿宋" w:hint="eastAsia"/>
          <w:b/>
          <w:sz w:val="28"/>
          <w:szCs w:val="28"/>
        </w:rPr>
        <w:fldChar w:fldCharType="begin"/>
      </w:r>
      <w:r>
        <w:rPr>
          <w:rFonts w:ascii="仿宋" w:eastAsia="仿宋" w:hAnsi="仿宋" w:cs="仿宋" w:hint="eastAsia"/>
          <w:b/>
          <w:sz w:val="28"/>
          <w:szCs w:val="28"/>
        </w:rPr>
        <w:instrText xml:space="preserve">TOC \o "1-3" \h \u </w:instrText>
      </w:r>
      <w:r>
        <w:rPr>
          <w:rFonts w:ascii="仿宋" w:eastAsia="仿宋" w:hAnsi="仿宋" w:cs="仿宋" w:hint="eastAsia"/>
          <w:b/>
          <w:sz w:val="28"/>
          <w:szCs w:val="28"/>
        </w:rPr>
        <w:fldChar w:fldCharType="separate"/>
      </w:r>
      <w:hyperlink w:anchor="_Toc15234" w:history="1">
        <w:r>
          <w:rPr>
            <w:rFonts w:ascii="仿宋" w:eastAsia="仿宋" w:hAnsi="仿宋" w:cs="仿宋" w:hint="eastAsia"/>
            <w:b/>
            <w:bCs/>
          </w:rPr>
          <w:t xml:space="preserve">1. </w:t>
        </w:r>
        <w:r>
          <w:rPr>
            <w:rFonts w:ascii="仿宋" w:eastAsia="仿宋" w:hAnsi="仿宋" w:cs="仿宋" w:hint="eastAsia"/>
            <w:b/>
            <w:bCs/>
          </w:rPr>
          <w:t>金融大政</w:t>
        </w:r>
      </w:hyperlink>
    </w:p>
    <w:p w14:paraId="33A033DE" w14:textId="77777777" w:rsidR="00ED5EBF" w:rsidRDefault="002034C8">
      <w:pPr>
        <w:pStyle w:val="20"/>
        <w:tabs>
          <w:tab w:val="right" w:leader="hyphen" w:pos="8300"/>
        </w:tabs>
        <w:spacing w:line="360" w:lineRule="auto"/>
        <w:ind w:left="480"/>
        <w:rPr>
          <w:rFonts w:ascii="仿宋" w:eastAsia="仿宋" w:hAnsi="仿宋" w:cs="仿宋"/>
        </w:rPr>
      </w:pPr>
      <w:hyperlink w:anchor="十三届人大一次会议举行第二次全体会议" w:history="1">
        <w:r>
          <w:rPr>
            <w:rStyle w:val="aa"/>
            <w:rFonts w:ascii="仿宋" w:eastAsia="仿宋" w:hAnsi="仿宋" w:cs="仿宋" w:hint="eastAsia"/>
          </w:rPr>
          <w:t xml:space="preserve">1.1 </w:t>
        </w:r>
        <w:r>
          <w:rPr>
            <w:rStyle w:val="aa"/>
            <w:rFonts w:ascii="仿宋" w:eastAsia="仿宋" w:hAnsi="仿宋" w:cs="仿宋" w:hint="eastAsia"/>
          </w:rPr>
          <w:t>十三届人大一次会议举行第二次全体会议</w:t>
        </w:r>
        <w:r>
          <w:rPr>
            <w:rStyle w:val="aa"/>
            <w:rFonts w:ascii="仿宋" w:eastAsia="仿宋" w:hAnsi="仿宋" w:cs="仿宋" w:hint="eastAsia"/>
          </w:rPr>
          <w:tab/>
        </w:r>
        <w:r>
          <w:rPr>
            <w:rStyle w:val="aa"/>
            <w:rFonts w:ascii="仿宋" w:eastAsia="仿宋" w:hAnsi="仿宋" w:cs="仿宋" w:hint="eastAsia"/>
          </w:rPr>
          <w:t>1</w:t>
        </w:r>
      </w:hyperlink>
    </w:p>
    <w:p w14:paraId="23F29096" w14:textId="77777777" w:rsidR="00ED5EBF" w:rsidRDefault="002034C8">
      <w:pPr>
        <w:pStyle w:val="20"/>
        <w:tabs>
          <w:tab w:val="right" w:leader="hyphen" w:pos="8300"/>
        </w:tabs>
        <w:spacing w:line="360" w:lineRule="auto"/>
        <w:ind w:left="480"/>
        <w:rPr>
          <w:rFonts w:ascii="仿宋" w:eastAsia="仿宋" w:hAnsi="仿宋" w:cs="仿宋"/>
        </w:rPr>
      </w:pPr>
      <w:hyperlink w:anchor="习近平李克强栗战书赵乐际分别参加全国人大会议一些代表团审议" w:history="1">
        <w:r>
          <w:rPr>
            <w:rStyle w:val="aa"/>
            <w:rFonts w:ascii="仿宋" w:eastAsia="仿宋" w:hAnsi="仿宋" w:cs="仿宋" w:hint="eastAsia"/>
          </w:rPr>
          <w:t xml:space="preserve">1.2  </w:t>
        </w:r>
        <w:r>
          <w:rPr>
            <w:rStyle w:val="aa"/>
            <w:rFonts w:ascii="仿宋" w:eastAsia="仿宋" w:hAnsi="仿宋" w:cs="仿宋" w:hint="eastAsia"/>
          </w:rPr>
          <w:t>习近平李克强栗战书赵乐际分别参加全国人大会议一些代表团审议</w:t>
        </w:r>
        <w:r>
          <w:rPr>
            <w:rStyle w:val="aa"/>
            <w:rFonts w:ascii="仿宋" w:eastAsia="仿宋" w:hAnsi="仿宋" w:cs="仿宋" w:hint="eastAsia"/>
          </w:rPr>
          <w:tab/>
        </w:r>
        <w:r>
          <w:rPr>
            <w:rStyle w:val="aa"/>
            <w:rFonts w:ascii="仿宋" w:eastAsia="仿宋" w:hAnsi="仿宋" w:cs="仿宋" w:hint="eastAsia"/>
          </w:rPr>
          <w:t>3</w:t>
        </w:r>
      </w:hyperlink>
    </w:p>
    <w:bookmarkStart w:id="1" w:name="十三届人大一次会议举行第三次全体会议习近平李克强栗战书汪洋王沪宁赵乐际韩正等出"/>
    <w:bookmarkEnd w:id="1"/>
    <w:p w14:paraId="2BA1822A" w14:textId="77777777" w:rsidR="00ED5EBF" w:rsidRDefault="002034C8">
      <w:pPr>
        <w:pStyle w:val="20"/>
        <w:tabs>
          <w:tab w:val="right" w:leader="hyphen" w:pos="8300"/>
        </w:tabs>
        <w:spacing w:line="360" w:lineRule="auto"/>
        <w:ind w:left="480"/>
        <w:rPr>
          <w:rFonts w:ascii="仿宋" w:eastAsia="仿宋" w:hAnsi="仿宋" w:cs="仿宋"/>
        </w:rPr>
      </w:pPr>
      <w:r>
        <w:rPr>
          <w:rFonts w:ascii="仿宋" w:eastAsia="仿宋" w:hAnsi="仿宋" w:cs="仿宋" w:hint="eastAsia"/>
        </w:rPr>
        <w:fldChar w:fldCharType="begin"/>
      </w:r>
      <w:r>
        <w:rPr>
          <w:rFonts w:ascii="仿宋" w:eastAsia="仿宋" w:hAnsi="仿宋" w:cs="仿宋" w:hint="eastAsia"/>
        </w:rPr>
        <w:instrText xml:space="preserve"> HYPERLINK \l "</w:instrText>
      </w:r>
      <w:r>
        <w:rPr>
          <w:rFonts w:ascii="仿宋" w:eastAsia="仿宋" w:hAnsi="仿宋" w:cs="仿宋" w:hint="eastAsia"/>
        </w:rPr>
        <w:instrText>第三次全体会议习近平李克强栗战书汪洋王沪宁赵乐际韩正等出</w:instrText>
      </w:r>
      <w:r>
        <w:rPr>
          <w:rFonts w:ascii="仿宋" w:eastAsia="仿宋" w:hAnsi="仿宋" w:cs="仿宋" w:hint="eastAsia"/>
        </w:rPr>
        <w:instrText xml:space="preserve">" </w:instrText>
      </w:r>
      <w:r>
        <w:rPr>
          <w:rFonts w:ascii="仿宋" w:eastAsia="仿宋" w:hAnsi="仿宋" w:cs="仿宋" w:hint="eastAsia"/>
        </w:rPr>
        <w:fldChar w:fldCharType="separate"/>
      </w:r>
      <w:r>
        <w:rPr>
          <w:rStyle w:val="aa"/>
          <w:rFonts w:ascii="仿宋" w:eastAsia="仿宋" w:hAnsi="仿宋" w:cs="仿宋" w:hint="eastAsia"/>
        </w:rPr>
        <w:t xml:space="preserve">1.3 </w:t>
      </w:r>
      <w:r>
        <w:rPr>
          <w:rStyle w:val="aa"/>
          <w:rFonts w:ascii="仿宋" w:eastAsia="仿宋" w:hAnsi="仿宋" w:cs="仿宋" w:hint="eastAsia"/>
        </w:rPr>
        <w:t>十三届人大一次会议举行第三次全体会议</w:t>
      </w:r>
      <w:r>
        <w:rPr>
          <w:rStyle w:val="aa"/>
          <w:rFonts w:ascii="仿宋" w:eastAsia="仿宋" w:hAnsi="仿宋" w:cs="仿宋" w:hint="eastAsia"/>
        </w:rPr>
        <w:t> </w:t>
      </w:r>
      <w:r>
        <w:rPr>
          <w:rStyle w:val="aa"/>
          <w:rFonts w:ascii="仿宋" w:eastAsia="仿宋" w:hAnsi="仿宋" w:cs="仿宋" w:hint="eastAsia"/>
        </w:rPr>
        <w:t>习近平李克强栗战书汪洋王沪宁赵乐际韩正等出席</w:t>
      </w:r>
      <w:r>
        <w:rPr>
          <w:rStyle w:val="aa"/>
          <w:rFonts w:ascii="仿宋" w:eastAsia="仿宋" w:hAnsi="仿宋" w:cs="仿宋" w:hint="eastAsia"/>
        </w:rPr>
        <w:tab/>
        <w:t>8</w:t>
      </w:r>
      <w:r>
        <w:rPr>
          <w:rFonts w:ascii="仿宋" w:eastAsia="仿宋" w:hAnsi="仿宋" w:cs="仿宋" w:hint="eastAsia"/>
        </w:rPr>
        <w:fldChar w:fldCharType="end"/>
      </w:r>
    </w:p>
    <w:p w14:paraId="6E0B5D85" w14:textId="77777777" w:rsidR="00ED5EBF" w:rsidRDefault="002034C8">
      <w:pPr>
        <w:pStyle w:val="20"/>
        <w:tabs>
          <w:tab w:val="right" w:leader="hyphen" w:pos="8300"/>
        </w:tabs>
        <w:spacing w:line="360" w:lineRule="auto"/>
        <w:ind w:left="480"/>
        <w:rPr>
          <w:rFonts w:ascii="仿宋" w:eastAsia="仿宋" w:hAnsi="仿宋" w:cs="仿宋"/>
        </w:rPr>
      </w:pPr>
      <w:hyperlink w:anchor="习近平：扎扎实实推进军民融合深度发展为实现中国梦强军梦提供强大动力和战略支" w:history="1">
        <w:r>
          <w:rPr>
            <w:rStyle w:val="aa"/>
            <w:rFonts w:ascii="仿宋" w:eastAsia="仿宋" w:hAnsi="仿宋" w:cs="仿宋" w:hint="eastAsia"/>
          </w:rPr>
          <w:t>1.4</w:t>
        </w:r>
        <w:r>
          <w:rPr>
            <w:rStyle w:val="aa"/>
            <w:rFonts w:ascii="仿宋" w:eastAsia="仿宋" w:hAnsi="仿宋" w:cs="仿宋" w:hint="eastAsia"/>
          </w:rPr>
          <w:t xml:space="preserve"> </w:t>
        </w:r>
        <w:r>
          <w:rPr>
            <w:rStyle w:val="aa"/>
            <w:rFonts w:ascii="仿宋" w:eastAsia="仿宋" w:hAnsi="仿宋" w:cs="仿宋" w:hint="eastAsia"/>
          </w:rPr>
          <w:t>习近平：扎扎实实推进军民融合深度发展</w:t>
        </w:r>
        <w:r>
          <w:rPr>
            <w:rStyle w:val="aa"/>
            <w:rFonts w:ascii="仿宋" w:eastAsia="仿宋" w:hAnsi="仿宋" w:cs="仿宋" w:hint="eastAsia"/>
          </w:rPr>
          <w:t xml:space="preserve"> </w:t>
        </w:r>
        <w:r>
          <w:rPr>
            <w:rStyle w:val="aa"/>
            <w:rFonts w:ascii="仿宋" w:eastAsia="仿宋" w:hAnsi="仿宋" w:cs="仿宋" w:hint="eastAsia"/>
          </w:rPr>
          <w:t>为实现中国梦强</w:t>
        </w:r>
        <w:r>
          <w:rPr>
            <w:rStyle w:val="aa"/>
            <w:rFonts w:ascii="仿宋" w:eastAsia="仿宋" w:hAnsi="仿宋" w:cs="仿宋" w:hint="eastAsia"/>
          </w:rPr>
          <w:tab/>
        </w:r>
        <w:r>
          <w:rPr>
            <w:rStyle w:val="aa"/>
            <w:rFonts w:ascii="仿宋" w:eastAsia="仿宋" w:hAnsi="仿宋" w:cs="仿宋" w:hint="eastAsia"/>
          </w:rPr>
          <w:t>1</w:t>
        </w:r>
      </w:hyperlink>
      <w:r>
        <w:rPr>
          <w:rFonts w:ascii="仿宋" w:eastAsia="仿宋" w:hAnsi="仿宋" w:cs="仿宋" w:hint="eastAsia"/>
          <w:szCs w:val="28"/>
        </w:rPr>
        <w:t>2</w:t>
      </w:r>
    </w:p>
    <w:p w14:paraId="450FB678" w14:textId="77777777" w:rsidR="00ED5EBF" w:rsidRDefault="002034C8">
      <w:pPr>
        <w:pStyle w:val="20"/>
        <w:tabs>
          <w:tab w:val="right" w:leader="hyphen" w:pos="8300"/>
        </w:tabs>
        <w:spacing w:line="360" w:lineRule="auto"/>
        <w:ind w:left="480"/>
        <w:rPr>
          <w:rFonts w:ascii="仿宋" w:eastAsia="仿宋" w:hAnsi="仿宋" w:cs="仿宋"/>
        </w:rPr>
      </w:pPr>
      <w:hyperlink w:anchor="十三届全国人大一次会议举行第四次全体会议" w:history="1">
        <w:r>
          <w:rPr>
            <w:rStyle w:val="aa"/>
            <w:rFonts w:ascii="仿宋" w:eastAsia="仿宋" w:hAnsi="仿宋" w:cs="仿宋" w:hint="eastAsia"/>
          </w:rPr>
          <w:t xml:space="preserve">1.5 </w:t>
        </w:r>
        <w:r>
          <w:rPr>
            <w:rStyle w:val="aa"/>
            <w:rFonts w:ascii="仿宋" w:eastAsia="仿宋" w:hAnsi="仿宋" w:cs="仿宋" w:hint="eastAsia"/>
          </w:rPr>
          <w:t>十三届全国人大一次会议举行第四次全体会议</w:t>
        </w:r>
        <w:r>
          <w:rPr>
            <w:rStyle w:val="aa"/>
            <w:rFonts w:ascii="仿宋" w:eastAsia="仿宋" w:hAnsi="仿宋" w:cs="仿宋" w:hint="eastAsia"/>
          </w:rPr>
          <w:tab/>
        </w:r>
        <w:r>
          <w:rPr>
            <w:rStyle w:val="aa"/>
            <w:rFonts w:ascii="仿宋" w:eastAsia="仿宋" w:hAnsi="仿宋" w:cs="仿宋" w:hint="eastAsia"/>
          </w:rPr>
          <w:t>1</w:t>
        </w:r>
      </w:hyperlink>
      <w:r>
        <w:rPr>
          <w:rFonts w:ascii="仿宋" w:eastAsia="仿宋" w:hAnsi="仿宋" w:cs="仿宋" w:hint="eastAsia"/>
          <w:szCs w:val="28"/>
        </w:rPr>
        <w:t>6</w:t>
      </w:r>
    </w:p>
    <w:p w14:paraId="06D7FCE1" w14:textId="77777777" w:rsidR="00ED5EBF" w:rsidRDefault="002034C8">
      <w:pPr>
        <w:pStyle w:val="20"/>
        <w:tabs>
          <w:tab w:val="right" w:leader="hyphen" w:pos="8300"/>
        </w:tabs>
        <w:spacing w:line="360" w:lineRule="auto"/>
        <w:ind w:left="480"/>
        <w:rPr>
          <w:rFonts w:ascii="仿宋" w:eastAsia="仿宋" w:hAnsi="仿宋" w:cs="仿宋"/>
        </w:rPr>
      </w:pPr>
      <w:hyperlink w:anchor="全国政协十三届一次会议闭幕习近平李克强张德江俞正声张高丽栗战书王沪宁赵乐际韩正" w:history="1">
        <w:r>
          <w:rPr>
            <w:rStyle w:val="aa"/>
            <w:rFonts w:ascii="仿宋" w:eastAsia="仿宋" w:hAnsi="仿宋" w:cs="仿宋" w:hint="eastAsia"/>
          </w:rPr>
          <w:t xml:space="preserve">1.6 </w:t>
        </w:r>
        <w:r>
          <w:rPr>
            <w:rStyle w:val="aa"/>
            <w:rFonts w:ascii="仿宋" w:eastAsia="仿宋" w:hAnsi="仿宋" w:cs="仿宋" w:hint="eastAsia"/>
          </w:rPr>
          <w:t>全国政协十三届一次会议闭幕</w:t>
        </w:r>
        <w:r>
          <w:rPr>
            <w:rStyle w:val="aa"/>
            <w:rFonts w:ascii="仿宋" w:eastAsia="仿宋" w:hAnsi="仿宋" w:cs="仿宋" w:hint="eastAsia"/>
          </w:rPr>
          <w:t> </w:t>
        </w:r>
        <w:r>
          <w:rPr>
            <w:rStyle w:val="aa"/>
            <w:rFonts w:ascii="仿宋" w:eastAsia="仿宋" w:hAnsi="仿宋" w:cs="仿宋" w:hint="eastAsia"/>
          </w:rPr>
          <w:t>习近平李克强张德江俞正声张高丽栗战书王沪宁赵乐际韩正出席</w:t>
        </w:r>
        <w:r>
          <w:rPr>
            <w:rStyle w:val="aa"/>
            <w:rFonts w:ascii="仿宋" w:eastAsia="仿宋" w:hAnsi="仿宋" w:cs="仿宋" w:hint="eastAsia"/>
          </w:rPr>
          <w:tab/>
        </w:r>
        <w:r>
          <w:rPr>
            <w:rStyle w:val="aa"/>
            <w:rFonts w:ascii="仿宋" w:eastAsia="仿宋" w:hAnsi="仿宋" w:cs="仿宋" w:hint="eastAsia"/>
          </w:rPr>
          <w:t>2</w:t>
        </w:r>
      </w:hyperlink>
      <w:r>
        <w:rPr>
          <w:rFonts w:ascii="仿宋" w:eastAsia="仿宋" w:hAnsi="仿宋" w:cs="仿宋" w:hint="eastAsia"/>
          <w:szCs w:val="28"/>
        </w:rPr>
        <w:t>0</w:t>
      </w:r>
    </w:p>
    <w:p w14:paraId="270CEAB4" w14:textId="77777777" w:rsidR="00ED5EBF" w:rsidRDefault="002034C8">
      <w:pPr>
        <w:pStyle w:val="20"/>
        <w:tabs>
          <w:tab w:val="right" w:leader="hyphen" w:pos="8300"/>
        </w:tabs>
        <w:spacing w:line="360" w:lineRule="auto"/>
        <w:ind w:left="480"/>
        <w:rPr>
          <w:rFonts w:ascii="仿宋" w:eastAsia="仿宋" w:hAnsi="仿宋" w:cs="仿宋"/>
        </w:rPr>
      </w:pPr>
      <w:hyperlink w:anchor="中华人民共和国宪法修正案" w:history="1">
        <w:r>
          <w:rPr>
            <w:rStyle w:val="aa"/>
            <w:rFonts w:ascii="仿宋" w:eastAsia="仿宋" w:hAnsi="仿宋" w:cs="仿宋" w:hint="eastAsia"/>
          </w:rPr>
          <w:t xml:space="preserve">1.7 </w:t>
        </w:r>
        <w:r>
          <w:rPr>
            <w:rStyle w:val="aa"/>
            <w:rFonts w:ascii="仿宋" w:eastAsia="仿宋" w:hAnsi="仿宋" w:cs="仿宋" w:hint="eastAsia"/>
          </w:rPr>
          <w:t>中华人民共和国宪法修正案</w:t>
        </w:r>
        <w:r>
          <w:rPr>
            <w:rStyle w:val="aa"/>
            <w:rFonts w:ascii="仿宋" w:eastAsia="仿宋" w:hAnsi="仿宋" w:cs="仿宋" w:hint="eastAsia"/>
          </w:rPr>
          <w:tab/>
        </w:r>
        <w:r>
          <w:rPr>
            <w:rStyle w:val="aa"/>
            <w:rFonts w:ascii="仿宋" w:eastAsia="仿宋" w:hAnsi="仿宋" w:cs="仿宋" w:hint="eastAsia"/>
          </w:rPr>
          <w:t>2</w:t>
        </w:r>
      </w:hyperlink>
      <w:r>
        <w:rPr>
          <w:rFonts w:ascii="仿宋" w:eastAsia="仿宋" w:hAnsi="仿宋" w:cs="仿宋" w:hint="eastAsia"/>
          <w:szCs w:val="28"/>
        </w:rPr>
        <w:t>5</w:t>
      </w:r>
    </w:p>
    <w:p w14:paraId="3594C040" w14:textId="77777777" w:rsidR="00ED5EBF" w:rsidRDefault="002034C8">
      <w:pPr>
        <w:pStyle w:val="20"/>
        <w:tabs>
          <w:tab w:val="right" w:leader="hyphen" w:pos="8300"/>
        </w:tabs>
        <w:spacing w:line="360" w:lineRule="auto"/>
        <w:ind w:left="480"/>
        <w:rPr>
          <w:rFonts w:ascii="仿宋" w:eastAsia="仿宋" w:hAnsi="仿宋" w:cs="仿宋"/>
        </w:rPr>
      </w:pPr>
      <w:hyperlink w:anchor="印发《关于对慈善捐赠领域相关主体实施守信联合激励和失信联合惩戒的合作备忘录》" w:history="1">
        <w:r>
          <w:rPr>
            <w:rStyle w:val="aa"/>
            <w:rFonts w:ascii="仿宋" w:eastAsia="仿宋" w:hAnsi="仿宋" w:cs="仿宋" w:hint="eastAsia"/>
          </w:rPr>
          <w:t xml:space="preserve">1.8 </w:t>
        </w:r>
        <w:r>
          <w:rPr>
            <w:rStyle w:val="aa"/>
            <w:rFonts w:ascii="仿宋" w:eastAsia="仿宋" w:hAnsi="仿宋" w:cs="仿宋" w:hint="eastAsia"/>
          </w:rPr>
          <w:t>印发《关于对慈善捐赠领域相关主体实施守信联合激励和失信联合惩戒的合作备忘录》的通知</w:t>
        </w:r>
        <w:r>
          <w:rPr>
            <w:rStyle w:val="aa"/>
            <w:rFonts w:ascii="仿宋" w:eastAsia="仿宋" w:hAnsi="仿宋" w:cs="仿宋" w:hint="eastAsia"/>
          </w:rPr>
          <w:tab/>
        </w:r>
        <w:r>
          <w:rPr>
            <w:rStyle w:val="aa"/>
            <w:rFonts w:ascii="仿宋" w:eastAsia="仿宋" w:hAnsi="仿宋" w:cs="仿宋" w:hint="eastAsia"/>
          </w:rPr>
          <w:t>3</w:t>
        </w:r>
      </w:hyperlink>
      <w:r>
        <w:rPr>
          <w:rFonts w:ascii="仿宋" w:eastAsia="仿宋" w:hAnsi="仿宋" w:cs="仿宋" w:hint="eastAsia"/>
          <w:szCs w:val="28"/>
        </w:rPr>
        <w:t>4</w:t>
      </w:r>
    </w:p>
    <w:p w14:paraId="26A02E52" w14:textId="77777777" w:rsidR="00ED5EBF" w:rsidRDefault="002034C8">
      <w:pPr>
        <w:pStyle w:val="20"/>
        <w:tabs>
          <w:tab w:val="right" w:leader="hyphen" w:pos="8300"/>
        </w:tabs>
        <w:spacing w:line="360" w:lineRule="auto"/>
        <w:ind w:left="480"/>
        <w:rPr>
          <w:rFonts w:ascii="仿宋" w:eastAsia="仿宋" w:hAnsi="仿宋" w:cs="仿宋"/>
        </w:rPr>
      </w:pPr>
      <w:hyperlink w:anchor="关于在一定期限内适当限制特定严重失信人乘坐火车推动社会信用体系建设的意见" w:history="1">
        <w:r>
          <w:rPr>
            <w:rStyle w:val="aa"/>
            <w:rFonts w:ascii="仿宋" w:eastAsia="仿宋" w:hAnsi="仿宋" w:cs="仿宋" w:hint="eastAsia"/>
          </w:rPr>
          <w:t xml:space="preserve">1.9 </w:t>
        </w:r>
        <w:r>
          <w:rPr>
            <w:rStyle w:val="aa"/>
            <w:rFonts w:ascii="仿宋" w:eastAsia="仿宋" w:hAnsi="仿宋" w:cs="仿宋" w:hint="eastAsia"/>
          </w:rPr>
          <w:t>关于在一定期限内适当限制特定严重失信人乘坐火车</w:t>
        </w:r>
        <w:r>
          <w:rPr>
            <w:rStyle w:val="aa"/>
            <w:rFonts w:ascii="仿宋" w:eastAsia="仿宋" w:hAnsi="仿宋" w:cs="仿宋" w:hint="eastAsia"/>
          </w:rPr>
          <w:t xml:space="preserve"> </w:t>
        </w:r>
        <w:r>
          <w:rPr>
            <w:rStyle w:val="aa"/>
            <w:rFonts w:ascii="仿宋" w:eastAsia="仿宋" w:hAnsi="仿宋" w:cs="仿宋" w:hint="eastAsia"/>
          </w:rPr>
          <w:t>推动社会信用体系建设的意见</w:t>
        </w:r>
        <w:r>
          <w:rPr>
            <w:rStyle w:val="aa"/>
            <w:rFonts w:ascii="仿宋" w:eastAsia="仿宋" w:hAnsi="仿宋" w:cs="仿宋" w:hint="eastAsia"/>
          </w:rPr>
          <w:tab/>
        </w:r>
        <w:r>
          <w:rPr>
            <w:rStyle w:val="aa"/>
            <w:rFonts w:ascii="仿宋" w:eastAsia="仿宋" w:hAnsi="仿宋" w:cs="仿宋" w:hint="eastAsia"/>
          </w:rPr>
          <w:t>3</w:t>
        </w:r>
      </w:hyperlink>
      <w:r>
        <w:rPr>
          <w:rFonts w:ascii="仿宋" w:eastAsia="仿宋" w:hAnsi="仿宋" w:cs="仿宋" w:hint="eastAsia"/>
          <w:szCs w:val="28"/>
        </w:rPr>
        <w:t>7</w:t>
      </w:r>
    </w:p>
    <w:p w14:paraId="6A1DB5CF" w14:textId="77777777" w:rsidR="00ED5EBF" w:rsidRDefault="002034C8">
      <w:pPr>
        <w:pStyle w:val="20"/>
        <w:tabs>
          <w:tab w:val="right" w:leader="hyphen" w:pos="8300"/>
        </w:tabs>
        <w:spacing w:line="360" w:lineRule="auto"/>
        <w:ind w:left="480"/>
        <w:rPr>
          <w:rFonts w:ascii="仿宋" w:eastAsia="仿宋" w:hAnsi="仿宋" w:cs="仿宋"/>
        </w:rPr>
      </w:pPr>
      <w:hyperlink w:anchor="关于对失信被执行人实施限制不动产交易惩戒措施的通知" w:history="1">
        <w:r>
          <w:rPr>
            <w:rStyle w:val="aa"/>
            <w:rFonts w:ascii="仿宋" w:eastAsia="仿宋" w:hAnsi="仿宋" w:cs="仿宋" w:hint="eastAsia"/>
          </w:rPr>
          <w:t xml:space="preserve">1.10 </w:t>
        </w:r>
        <w:r>
          <w:rPr>
            <w:rStyle w:val="aa"/>
            <w:rFonts w:ascii="仿宋" w:eastAsia="仿宋" w:hAnsi="仿宋" w:cs="仿宋" w:hint="eastAsia"/>
          </w:rPr>
          <w:t>关于对失信被执行人实施限制不动产交易惩戒措施的通知</w:t>
        </w:r>
        <w:r>
          <w:rPr>
            <w:rStyle w:val="aa"/>
            <w:rFonts w:ascii="仿宋" w:eastAsia="仿宋" w:hAnsi="仿宋" w:cs="仿宋" w:hint="eastAsia"/>
          </w:rPr>
          <w:tab/>
        </w:r>
        <w:r>
          <w:rPr>
            <w:rStyle w:val="aa"/>
            <w:rFonts w:ascii="仿宋" w:eastAsia="仿宋" w:hAnsi="仿宋" w:cs="仿宋" w:hint="eastAsia"/>
          </w:rPr>
          <w:t>4</w:t>
        </w:r>
      </w:hyperlink>
      <w:r>
        <w:rPr>
          <w:rFonts w:ascii="仿宋" w:eastAsia="仿宋" w:hAnsi="仿宋" w:cs="仿宋" w:hint="eastAsia"/>
          <w:szCs w:val="28"/>
        </w:rPr>
        <w:t>2</w:t>
      </w:r>
    </w:p>
    <w:p w14:paraId="10D4C4FB" w14:textId="77777777" w:rsidR="00ED5EBF" w:rsidRDefault="002034C8">
      <w:pPr>
        <w:pStyle w:val="11"/>
        <w:tabs>
          <w:tab w:val="right" w:leader="hyphen" w:pos="8300"/>
        </w:tabs>
        <w:spacing w:line="360" w:lineRule="auto"/>
        <w:rPr>
          <w:rFonts w:ascii="仿宋" w:eastAsia="仿宋" w:hAnsi="仿宋" w:cs="仿宋"/>
          <w:b/>
          <w:bCs/>
        </w:rPr>
      </w:pPr>
      <w:hyperlink w:anchor="_Toc6669" w:history="1">
        <w:r>
          <w:rPr>
            <w:rFonts w:ascii="仿宋" w:eastAsia="仿宋" w:hAnsi="仿宋" w:cs="仿宋" w:hint="eastAsia"/>
            <w:b/>
            <w:bCs/>
          </w:rPr>
          <w:t xml:space="preserve">2. </w:t>
        </w:r>
        <w:r>
          <w:rPr>
            <w:rFonts w:ascii="仿宋" w:eastAsia="仿宋" w:hAnsi="仿宋" w:cs="仿宋" w:hint="eastAsia"/>
            <w:b/>
            <w:bCs/>
          </w:rPr>
          <w:t>行业金融监管</w:t>
        </w:r>
      </w:hyperlink>
    </w:p>
    <w:p w14:paraId="4D95918C" w14:textId="77777777" w:rsidR="00ED5EBF" w:rsidRDefault="002034C8">
      <w:pPr>
        <w:pStyle w:val="20"/>
        <w:tabs>
          <w:tab w:val="right" w:leader="hyphen" w:pos="8300"/>
        </w:tabs>
        <w:spacing w:line="360" w:lineRule="auto"/>
        <w:ind w:left="480"/>
        <w:rPr>
          <w:rFonts w:ascii="仿宋" w:eastAsia="仿宋" w:hAnsi="仿宋" w:cs="仿宋"/>
        </w:rPr>
      </w:pPr>
      <w:hyperlink w:anchor="中国人民银行公告〔2018〕第5号" w:history="1">
        <w:r>
          <w:rPr>
            <w:rStyle w:val="aa"/>
            <w:rFonts w:ascii="仿宋" w:eastAsia="仿宋" w:hAnsi="仿宋" w:cs="仿宋" w:hint="eastAsia"/>
          </w:rPr>
          <w:t xml:space="preserve">2.1 </w:t>
        </w:r>
        <w:r>
          <w:rPr>
            <w:rStyle w:val="aa"/>
            <w:rFonts w:ascii="仿宋" w:eastAsia="仿宋" w:hAnsi="仿宋" w:cs="仿宋" w:hint="eastAsia"/>
          </w:rPr>
          <w:t xml:space="preserve"> </w:t>
        </w:r>
        <w:r>
          <w:rPr>
            <w:rStyle w:val="aa"/>
            <w:rFonts w:ascii="仿宋" w:eastAsia="仿宋" w:hAnsi="仿宋" w:cs="仿宋" w:hint="eastAsia"/>
          </w:rPr>
          <w:t>中国人民银行公告〔</w:t>
        </w:r>
        <w:r>
          <w:rPr>
            <w:rStyle w:val="aa"/>
            <w:rFonts w:ascii="仿宋" w:eastAsia="仿宋" w:hAnsi="仿宋" w:cs="仿宋" w:hint="eastAsia"/>
          </w:rPr>
          <w:t>2018</w:t>
        </w:r>
        <w:r>
          <w:rPr>
            <w:rStyle w:val="aa"/>
            <w:rFonts w:ascii="仿宋" w:eastAsia="仿宋" w:hAnsi="仿宋" w:cs="仿宋" w:hint="eastAsia"/>
          </w:rPr>
          <w:t>〕第</w:t>
        </w:r>
        <w:r>
          <w:rPr>
            <w:rStyle w:val="aa"/>
            <w:rFonts w:ascii="仿宋" w:eastAsia="仿宋" w:hAnsi="仿宋" w:cs="仿宋" w:hint="eastAsia"/>
          </w:rPr>
          <w:t>5</w:t>
        </w:r>
        <w:r>
          <w:rPr>
            <w:rStyle w:val="aa"/>
            <w:rFonts w:ascii="仿宋" w:eastAsia="仿宋" w:hAnsi="仿宋" w:cs="仿宋" w:hint="eastAsia"/>
          </w:rPr>
          <w:t>号</w:t>
        </w:r>
        <w:r>
          <w:rPr>
            <w:rStyle w:val="aa"/>
            <w:rFonts w:ascii="仿宋" w:eastAsia="仿宋" w:hAnsi="仿宋" w:cs="仿宋" w:hint="eastAsia"/>
          </w:rPr>
          <w:tab/>
        </w:r>
        <w:r>
          <w:rPr>
            <w:rStyle w:val="aa"/>
            <w:rFonts w:ascii="仿宋" w:eastAsia="仿宋" w:hAnsi="仿宋" w:cs="仿宋" w:hint="eastAsia"/>
          </w:rPr>
          <w:t>4</w:t>
        </w:r>
      </w:hyperlink>
      <w:r>
        <w:rPr>
          <w:rFonts w:ascii="仿宋" w:eastAsia="仿宋" w:hAnsi="仿宋" w:cs="仿宋" w:hint="eastAsia"/>
          <w:szCs w:val="28"/>
        </w:rPr>
        <w:t>4</w:t>
      </w:r>
    </w:p>
    <w:p w14:paraId="7DFD82D2" w14:textId="77777777" w:rsidR="00ED5EBF" w:rsidRDefault="002034C8">
      <w:pPr>
        <w:pStyle w:val="20"/>
        <w:tabs>
          <w:tab w:val="right" w:leader="hyphen" w:pos="8300"/>
        </w:tabs>
        <w:spacing w:line="360" w:lineRule="auto"/>
        <w:ind w:left="480"/>
        <w:rPr>
          <w:rFonts w:ascii="仿宋" w:eastAsia="仿宋" w:hAnsi="仿宋" w:cs="仿宋"/>
        </w:rPr>
      </w:pPr>
      <w:hyperlink w:anchor="央行行长周小川出席记者会，比特币等虚拟货币会被提及吗？" w:history="1">
        <w:r>
          <w:rPr>
            <w:rStyle w:val="aa"/>
            <w:rFonts w:ascii="仿宋" w:eastAsia="仿宋" w:hAnsi="仿宋" w:cs="仿宋" w:hint="eastAsia"/>
          </w:rPr>
          <w:t xml:space="preserve">2.2  </w:t>
        </w:r>
        <w:r>
          <w:rPr>
            <w:rStyle w:val="aa"/>
            <w:rFonts w:ascii="仿宋" w:eastAsia="仿宋" w:hAnsi="仿宋" w:cs="仿宋" w:hint="eastAsia"/>
          </w:rPr>
          <w:t>央行行长周小川出席记者会，比特币等虚拟货币会被提及吗？</w:t>
        </w:r>
        <w:r>
          <w:rPr>
            <w:rStyle w:val="aa"/>
            <w:rFonts w:ascii="仿宋" w:eastAsia="仿宋" w:hAnsi="仿宋" w:cs="仿宋" w:hint="eastAsia"/>
          </w:rPr>
          <w:tab/>
        </w:r>
        <w:r>
          <w:rPr>
            <w:rStyle w:val="aa"/>
            <w:rFonts w:ascii="仿宋" w:eastAsia="仿宋" w:hAnsi="仿宋" w:cs="仿宋" w:hint="eastAsia"/>
          </w:rPr>
          <w:t>5</w:t>
        </w:r>
      </w:hyperlink>
      <w:r>
        <w:rPr>
          <w:rFonts w:ascii="仿宋" w:eastAsia="仿宋" w:hAnsi="仿宋" w:cs="仿宋" w:hint="eastAsia"/>
          <w:szCs w:val="28"/>
        </w:rPr>
        <w:t>0</w:t>
      </w:r>
    </w:p>
    <w:p w14:paraId="01909FC3" w14:textId="77777777" w:rsidR="00ED5EBF" w:rsidRDefault="002034C8">
      <w:pPr>
        <w:pStyle w:val="20"/>
        <w:tabs>
          <w:tab w:val="right" w:leader="hyphen" w:pos="8300"/>
        </w:tabs>
        <w:spacing w:line="360" w:lineRule="auto"/>
        <w:ind w:left="480"/>
        <w:rPr>
          <w:rFonts w:ascii="仿宋" w:eastAsia="仿宋" w:hAnsi="仿宋" w:cs="仿宋"/>
        </w:rPr>
      </w:pPr>
      <w:hyperlink w:anchor="周小川就“金融改革与发展”相关问题回答中外记者提问" w:history="1">
        <w:r>
          <w:rPr>
            <w:rStyle w:val="aa"/>
            <w:rFonts w:ascii="仿宋" w:eastAsia="仿宋" w:hAnsi="仿宋" w:cs="仿宋" w:hint="eastAsia"/>
          </w:rPr>
          <w:t xml:space="preserve">2.3  </w:t>
        </w:r>
        <w:r>
          <w:rPr>
            <w:rStyle w:val="aa"/>
            <w:rFonts w:ascii="仿宋" w:eastAsia="仿宋" w:hAnsi="仿宋" w:cs="仿宋" w:hint="eastAsia"/>
          </w:rPr>
          <w:t>周小川就“金融改革与发展”相关问题回答中外记者提问</w:t>
        </w:r>
        <w:r>
          <w:rPr>
            <w:rStyle w:val="aa"/>
            <w:rFonts w:ascii="仿宋" w:eastAsia="仿宋" w:hAnsi="仿宋" w:cs="仿宋" w:hint="eastAsia"/>
          </w:rPr>
          <w:tab/>
        </w:r>
        <w:r>
          <w:rPr>
            <w:rStyle w:val="aa"/>
            <w:rFonts w:ascii="仿宋" w:eastAsia="仿宋" w:hAnsi="仿宋" w:cs="仿宋" w:hint="eastAsia"/>
          </w:rPr>
          <w:t>5</w:t>
        </w:r>
      </w:hyperlink>
      <w:r>
        <w:rPr>
          <w:rFonts w:ascii="仿宋" w:eastAsia="仿宋" w:hAnsi="仿宋" w:cs="仿宋" w:hint="eastAsia"/>
          <w:szCs w:val="28"/>
        </w:rPr>
        <w:t>2</w:t>
      </w:r>
    </w:p>
    <w:p w14:paraId="244DBDDB" w14:textId="77777777" w:rsidR="00ED5EBF" w:rsidRDefault="002034C8">
      <w:pPr>
        <w:pStyle w:val="20"/>
        <w:tabs>
          <w:tab w:val="right" w:leader="hyphen" w:pos="8300"/>
        </w:tabs>
        <w:spacing w:line="360" w:lineRule="auto"/>
        <w:ind w:left="480"/>
        <w:rPr>
          <w:rFonts w:ascii="仿宋" w:eastAsia="仿宋" w:hAnsi="仿宋" w:cs="仿宋"/>
        </w:rPr>
      </w:pPr>
      <w:hyperlink w:anchor="陈雨露谈金融服务实体：直接融资还有很大发展空间" w:history="1">
        <w:r>
          <w:rPr>
            <w:rStyle w:val="aa"/>
            <w:rFonts w:ascii="仿宋" w:eastAsia="仿宋" w:hAnsi="仿宋" w:cs="仿宋" w:hint="eastAsia"/>
          </w:rPr>
          <w:t>2.4</w:t>
        </w:r>
        <w:r>
          <w:rPr>
            <w:rStyle w:val="aa"/>
            <w:rFonts w:ascii="仿宋" w:eastAsia="仿宋" w:hAnsi="仿宋" w:cs="仿宋" w:hint="eastAsia"/>
          </w:rPr>
          <w:t xml:space="preserve"> </w:t>
        </w:r>
        <w:r>
          <w:rPr>
            <w:rStyle w:val="aa"/>
            <w:rFonts w:ascii="仿宋" w:eastAsia="仿宋" w:hAnsi="仿宋" w:cs="仿宋" w:hint="eastAsia"/>
          </w:rPr>
          <w:t>陈雨露谈金融服务实体：直接融资还有很大发展空间</w:t>
        </w:r>
        <w:r>
          <w:rPr>
            <w:rStyle w:val="aa"/>
            <w:rFonts w:ascii="仿宋" w:eastAsia="仿宋" w:hAnsi="仿宋" w:cs="仿宋" w:hint="eastAsia"/>
          </w:rPr>
          <w:tab/>
        </w:r>
        <w:r>
          <w:rPr>
            <w:rStyle w:val="aa"/>
            <w:rFonts w:ascii="仿宋" w:eastAsia="仿宋" w:hAnsi="仿宋" w:cs="仿宋" w:hint="eastAsia"/>
          </w:rPr>
          <w:t>6</w:t>
        </w:r>
      </w:hyperlink>
      <w:r>
        <w:rPr>
          <w:rFonts w:ascii="仿宋" w:eastAsia="仿宋" w:hAnsi="仿宋" w:cs="仿宋" w:hint="eastAsia"/>
          <w:szCs w:val="28"/>
        </w:rPr>
        <w:t>0</w:t>
      </w:r>
    </w:p>
    <w:p w14:paraId="55792F02" w14:textId="77777777" w:rsidR="00ED5EBF" w:rsidRDefault="002034C8">
      <w:pPr>
        <w:pStyle w:val="20"/>
        <w:tabs>
          <w:tab w:val="right" w:leader="hyphen" w:pos="8300"/>
        </w:tabs>
        <w:spacing w:line="360" w:lineRule="auto"/>
        <w:ind w:left="480"/>
        <w:rPr>
          <w:rFonts w:ascii="仿宋" w:eastAsia="仿宋" w:hAnsi="仿宋" w:cs="仿宋"/>
        </w:rPr>
      </w:pPr>
      <w:hyperlink w:anchor="陈雨露股权融资市场有很大发展空间" w:history="1">
        <w:r>
          <w:rPr>
            <w:rStyle w:val="aa"/>
            <w:rFonts w:ascii="仿宋" w:eastAsia="仿宋" w:hAnsi="仿宋" w:cs="仿宋" w:hint="eastAsia"/>
          </w:rPr>
          <w:t xml:space="preserve">2.5 </w:t>
        </w:r>
        <w:r>
          <w:rPr>
            <w:rStyle w:val="aa"/>
            <w:rFonts w:ascii="仿宋" w:eastAsia="仿宋" w:hAnsi="仿宋" w:cs="仿宋" w:hint="eastAsia"/>
          </w:rPr>
          <w:t>陈雨露</w:t>
        </w:r>
        <w:r>
          <w:rPr>
            <w:rStyle w:val="aa"/>
            <w:rFonts w:ascii="仿宋" w:eastAsia="仿宋" w:hAnsi="仿宋" w:cs="仿宋" w:hint="eastAsia"/>
          </w:rPr>
          <w:t>:</w:t>
        </w:r>
        <w:r>
          <w:rPr>
            <w:rStyle w:val="aa"/>
            <w:rFonts w:ascii="仿宋" w:eastAsia="仿宋" w:hAnsi="仿宋" w:cs="仿宋" w:hint="eastAsia"/>
          </w:rPr>
          <w:t>股权融资市场有很大发展空间</w:t>
        </w:r>
        <w:r>
          <w:rPr>
            <w:rStyle w:val="aa"/>
            <w:rFonts w:ascii="仿宋" w:eastAsia="仿宋" w:hAnsi="仿宋" w:cs="仿宋" w:hint="eastAsia"/>
          </w:rPr>
          <w:tab/>
        </w:r>
        <w:r>
          <w:rPr>
            <w:rStyle w:val="aa"/>
            <w:rFonts w:ascii="仿宋" w:eastAsia="仿宋" w:hAnsi="仿宋" w:cs="仿宋" w:hint="eastAsia"/>
          </w:rPr>
          <w:t>6</w:t>
        </w:r>
      </w:hyperlink>
      <w:r>
        <w:rPr>
          <w:rFonts w:ascii="仿宋" w:eastAsia="仿宋" w:hAnsi="仿宋" w:cs="仿宋" w:hint="eastAsia"/>
          <w:szCs w:val="28"/>
        </w:rPr>
        <w:t>2</w:t>
      </w:r>
    </w:p>
    <w:p w14:paraId="250D4AC3" w14:textId="77777777" w:rsidR="00ED5EBF" w:rsidRDefault="002034C8">
      <w:pPr>
        <w:pStyle w:val="20"/>
        <w:tabs>
          <w:tab w:val="right" w:leader="hyphen" w:pos="8300"/>
        </w:tabs>
        <w:spacing w:line="360" w:lineRule="auto"/>
        <w:ind w:left="480"/>
        <w:rPr>
          <w:rFonts w:ascii="仿宋" w:eastAsia="仿宋" w:hAnsi="仿宋" w:cs="仿宋"/>
        </w:rPr>
      </w:pPr>
      <w:hyperlink w:anchor="月份金融市场运行情况" w:history="1">
        <w:r>
          <w:rPr>
            <w:rStyle w:val="aa"/>
            <w:rFonts w:ascii="仿宋" w:eastAsia="仿宋" w:hAnsi="仿宋" w:cs="仿宋" w:hint="eastAsia"/>
          </w:rPr>
          <w:t>2.6 2018</w:t>
        </w:r>
        <w:r>
          <w:rPr>
            <w:rStyle w:val="aa"/>
            <w:rFonts w:ascii="仿宋" w:eastAsia="仿宋" w:hAnsi="仿宋" w:cs="仿宋" w:hint="eastAsia"/>
          </w:rPr>
          <w:t>年</w:t>
        </w:r>
        <w:r>
          <w:rPr>
            <w:rStyle w:val="aa"/>
            <w:rFonts w:ascii="仿宋" w:eastAsia="仿宋" w:hAnsi="仿宋" w:cs="仿宋" w:hint="eastAsia"/>
          </w:rPr>
          <w:t>2</w:t>
        </w:r>
        <w:r>
          <w:rPr>
            <w:rStyle w:val="aa"/>
            <w:rFonts w:ascii="仿宋" w:eastAsia="仿宋" w:hAnsi="仿宋" w:cs="仿宋" w:hint="eastAsia"/>
          </w:rPr>
          <w:t>月份金融市场运行情况</w:t>
        </w:r>
        <w:r>
          <w:rPr>
            <w:rStyle w:val="aa"/>
            <w:rFonts w:ascii="仿宋" w:eastAsia="仿宋" w:hAnsi="仿宋" w:cs="仿宋" w:hint="eastAsia"/>
          </w:rPr>
          <w:tab/>
        </w:r>
        <w:r>
          <w:rPr>
            <w:rStyle w:val="aa"/>
            <w:rFonts w:ascii="仿宋" w:eastAsia="仿宋" w:hAnsi="仿宋" w:cs="仿宋" w:hint="eastAsia"/>
          </w:rPr>
          <w:t>6</w:t>
        </w:r>
      </w:hyperlink>
      <w:r>
        <w:rPr>
          <w:rFonts w:ascii="仿宋" w:eastAsia="仿宋" w:hAnsi="仿宋" w:cs="仿宋" w:hint="eastAsia"/>
          <w:szCs w:val="28"/>
        </w:rPr>
        <w:t>4</w:t>
      </w:r>
    </w:p>
    <w:p w14:paraId="09F9F3B5" w14:textId="77777777" w:rsidR="00ED5EBF" w:rsidRDefault="002034C8">
      <w:pPr>
        <w:pStyle w:val="20"/>
        <w:tabs>
          <w:tab w:val="right" w:leader="hyphen" w:pos="8300"/>
        </w:tabs>
        <w:spacing w:line="360" w:lineRule="auto"/>
        <w:ind w:left="480"/>
        <w:rPr>
          <w:rFonts w:ascii="仿宋" w:eastAsia="仿宋" w:hAnsi="仿宋" w:cs="仿宋"/>
        </w:rPr>
      </w:pPr>
      <w:hyperlink w:anchor="依法严惩违法违规行为维护支付清算市场秩序" w:history="1">
        <w:r>
          <w:rPr>
            <w:rStyle w:val="aa"/>
            <w:rFonts w:ascii="仿宋" w:eastAsia="仿宋" w:hAnsi="仿宋" w:cs="仿宋" w:hint="eastAsia"/>
          </w:rPr>
          <w:t xml:space="preserve">2.7 </w:t>
        </w:r>
        <w:r>
          <w:rPr>
            <w:rStyle w:val="aa"/>
            <w:rFonts w:ascii="仿宋" w:eastAsia="仿宋" w:hAnsi="仿宋" w:cs="仿宋" w:hint="eastAsia"/>
          </w:rPr>
          <w:t>依法严惩违法违规行为</w:t>
        </w:r>
        <w:r>
          <w:rPr>
            <w:rStyle w:val="aa"/>
            <w:rFonts w:ascii="仿宋" w:eastAsia="仿宋" w:hAnsi="仿宋" w:cs="仿宋" w:hint="eastAsia"/>
          </w:rPr>
          <w:t xml:space="preserve"> </w:t>
        </w:r>
        <w:r>
          <w:rPr>
            <w:rStyle w:val="aa"/>
            <w:rFonts w:ascii="仿宋" w:eastAsia="仿宋" w:hAnsi="仿宋" w:cs="仿宋" w:hint="eastAsia"/>
          </w:rPr>
          <w:t>维护支付清算市场秩序</w:t>
        </w:r>
        <w:r>
          <w:rPr>
            <w:rStyle w:val="aa"/>
            <w:rFonts w:ascii="仿宋" w:eastAsia="仿宋" w:hAnsi="仿宋" w:cs="仿宋" w:hint="eastAsia"/>
          </w:rPr>
          <w:tab/>
        </w:r>
        <w:r>
          <w:rPr>
            <w:rStyle w:val="aa"/>
            <w:rFonts w:ascii="仿宋" w:eastAsia="仿宋" w:hAnsi="仿宋" w:cs="仿宋" w:hint="eastAsia"/>
          </w:rPr>
          <w:t>6</w:t>
        </w:r>
      </w:hyperlink>
      <w:r>
        <w:rPr>
          <w:rFonts w:ascii="仿宋" w:eastAsia="仿宋" w:hAnsi="仿宋" w:cs="仿宋" w:hint="eastAsia"/>
          <w:szCs w:val="28"/>
        </w:rPr>
        <w:t>6</w:t>
      </w:r>
    </w:p>
    <w:p w14:paraId="55072A90" w14:textId="77777777" w:rsidR="00ED5EBF" w:rsidRDefault="002034C8">
      <w:pPr>
        <w:pStyle w:val="20"/>
        <w:tabs>
          <w:tab w:val="right" w:leader="hyphen" w:pos="8300"/>
        </w:tabs>
        <w:spacing w:line="360" w:lineRule="auto"/>
        <w:ind w:left="480"/>
        <w:rPr>
          <w:rFonts w:ascii="仿宋" w:eastAsia="仿宋" w:hAnsi="仿宋" w:cs="仿宋"/>
        </w:rPr>
      </w:pPr>
      <w:hyperlink w:anchor="关于进一步支持商业银行资本工具创新的意见" w:history="1">
        <w:r>
          <w:rPr>
            <w:rStyle w:val="aa"/>
            <w:rFonts w:ascii="仿宋" w:eastAsia="仿宋" w:hAnsi="仿宋" w:cs="仿宋" w:hint="eastAsia"/>
          </w:rPr>
          <w:t xml:space="preserve">2.8 </w:t>
        </w:r>
        <w:r>
          <w:rPr>
            <w:rStyle w:val="aa"/>
            <w:rFonts w:ascii="仿宋" w:eastAsia="仿宋" w:hAnsi="仿宋" w:cs="仿宋" w:hint="eastAsia"/>
          </w:rPr>
          <w:t>关于进一步支持商业银行资本工具创新的意见</w:t>
        </w:r>
        <w:r>
          <w:rPr>
            <w:rStyle w:val="aa"/>
            <w:rFonts w:ascii="仿宋" w:eastAsia="仿宋" w:hAnsi="仿宋" w:cs="仿宋" w:hint="eastAsia"/>
          </w:rPr>
          <w:tab/>
        </w:r>
        <w:r>
          <w:rPr>
            <w:rStyle w:val="aa"/>
            <w:rFonts w:ascii="仿宋" w:eastAsia="仿宋" w:hAnsi="仿宋" w:cs="仿宋" w:hint="eastAsia"/>
          </w:rPr>
          <w:t>6</w:t>
        </w:r>
      </w:hyperlink>
      <w:r>
        <w:rPr>
          <w:rFonts w:ascii="仿宋" w:eastAsia="仿宋" w:hAnsi="仿宋" w:cs="仿宋" w:hint="eastAsia"/>
          <w:szCs w:val="28"/>
        </w:rPr>
        <w:t>7</w:t>
      </w:r>
    </w:p>
    <w:p w14:paraId="0EF8BEEA" w14:textId="77777777" w:rsidR="00ED5EBF" w:rsidRDefault="002034C8">
      <w:pPr>
        <w:pStyle w:val="20"/>
        <w:tabs>
          <w:tab w:val="right" w:leader="hyphen" w:pos="8300"/>
        </w:tabs>
        <w:spacing w:line="360" w:lineRule="auto"/>
        <w:ind w:left="480"/>
        <w:rPr>
          <w:rFonts w:ascii="仿宋" w:eastAsia="仿宋" w:hAnsi="仿宋" w:cs="仿宋"/>
        </w:rPr>
      </w:pPr>
      <w:hyperlink w:anchor="银监会副主席王兆星：预计市场化债转股进程会加快" w:history="1">
        <w:r>
          <w:rPr>
            <w:rStyle w:val="aa"/>
            <w:rFonts w:ascii="仿宋" w:eastAsia="仿宋" w:hAnsi="仿宋" w:cs="仿宋" w:hint="eastAsia"/>
          </w:rPr>
          <w:t xml:space="preserve">2.9 </w:t>
        </w:r>
        <w:r>
          <w:rPr>
            <w:rStyle w:val="aa"/>
            <w:rFonts w:ascii="仿宋" w:eastAsia="仿宋" w:hAnsi="仿宋" w:cs="仿宋" w:hint="eastAsia"/>
          </w:rPr>
          <w:t>银监会副主席王兆星：预计市场化债转股进程会加快</w:t>
        </w:r>
        <w:r>
          <w:rPr>
            <w:rStyle w:val="aa"/>
            <w:rFonts w:ascii="仿宋" w:eastAsia="仿宋" w:hAnsi="仿宋" w:cs="仿宋" w:hint="eastAsia"/>
          </w:rPr>
          <w:tab/>
        </w:r>
        <w:r>
          <w:rPr>
            <w:rStyle w:val="aa"/>
            <w:rFonts w:ascii="仿宋" w:eastAsia="仿宋" w:hAnsi="仿宋" w:cs="仿宋" w:hint="eastAsia"/>
          </w:rPr>
          <w:t>7</w:t>
        </w:r>
      </w:hyperlink>
      <w:r>
        <w:rPr>
          <w:rFonts w:ascii="仿宋" w:eastAsia="仿宋" w:hAnsi="仿宋" w:cs="仿宋" w:hint="eastAsia"/>
          <w:szCs w:val="28"/>
        </w:rPr>
        <w:t>0</w:t>
      </w:r>
    </w:p>
    <w:p w14:paraId="77C0E05C" w14:textId="77777777" w:rsidR="00ED5EBF" w:rsidRDefault="002034C8">
      <w:pPr>
        <w:pStyle w:val="20"/>
        <w:tabs>
          <w:tab w:val="right" w:leader="hyphen" w:pos="8300"/>
        </w:tabs>
        <w:spacing w:line="360" w:lineRule="auto"/>
        <w:ind w:left="480"/>
        <w:rPr>
          <w:rFonts w:ascii="仿宋" w:eastAsia="仿宋" w:hAnsi="仿宋" w:cs="仿宋"/>
        </w:rPr>
      </w:pPr>
      <w:hyperlink w:anchor="银监会副主席王兆星防止银行被大股东和内部人控制" w:history="1">
        <w:r>
          <w:rPr>
            <w:rStyle w:val="aa"/>
            <w:rFonts w:ascii="仿宋" w:eastAsia="仿宋" w:hAnsi="仿宋" w:cs="仿宋" w:hint="eastAsia"/>
          </w:rPr>
          <w:t>2.10</w:t>
        </w:r>
        <w:r>
          <w:rPr>
            <w:rStyle w:val="aa"/>
            <w:rFonts w:ascii="仿宋" w:eastAsia="仿宋" w:hAnsi="仿宋" w:cs="仿宋" w:hint="eastAsia"/>
          </w:rPr>
          <w:t>两会独家</w:t>
        </w:r>
        <w:r>
          <w:rPr>
            <w:rStyle w:val="aa"/>
            <w:rFonts w:ascii="仿宋" w:eastAsia="仿宋" w:hAnsi="仿宋" w:cs="仿宋" w:hint="eastAsia"/>
          </w:rPr>
          <w:t>|</w:t>
        </w:r>
        <w:r>
          <w:rPr>
            <w:rStyle w:val="aa"/>
            <w:rFonts w:ascii="仿宋" w:eastAsia="仿宋" w:hAnsi="仿宋" w:cs="仿宋" w:hint="eastAsia"/>
          </w:rPr>
          <w:t>银监会副主席王兆星</w:t>
        </w:r>
        <w:r>
          <w:rPr>
            <w:rStyle w:val="aa"/>
            <w:rFonts w:ascii="仿宋" w:eastAsia="仿宋" w:hAnsi="仿宋" w:cs="仿宋" w:hint="eastAsia"/>
          </w:rPr>
          <w:t xml:space="preserve">: </w:t>
        </w:r>
        <w:r>
          <w:rPr>
            <w:rStyle w:val="aa"/>
            <w:rFonts w:ascii="仿宋" w:eastAsia="仿宋" w:hAnsi="仿宋" w:cs="仿宋" w:hint="eastAsia"/>
          </w:rPr>
          <w:t>防止银行被大股东和内部人控制</w:t>
        </w:r>
        <w:r>
          <w:rPr>
            <w:rStyle w:val="aa"/>
            <w:rFonts w:ascii="仿宋" w:eastAsia="仿宋" w:hAnsi="仿宋" w:cs="仿宋" w:hint="eastAsia"/>
          </w:rPr>
          <w:tab/>
        </w:r>
        <w:r>
          <w:rPr>
            <w:rStyle w:val="aa"/>
            <w:rFonts w:ascii="仿宋" w:eastAsia="仿宋" w:hAnsi="仿宋" w:cs="仿宋" w:hint="eastAsia"/>
          </w:rPr>
          <w:t>7</w:t>
        </w:r>
      </w:hyperlink>
      <w:r>
        <w:rPr>
          <w:rFonts w:ascii="仿宋" w:eastAsia="仿宋" w:hAnsi="仿宋" w:cs="仿宋" w:hint="eastAsia"/>
          <w:szCs w:val="28"/>
        </w:rPr>
        <w:t>2</w:t>
      </w:r>
    </w:p>
    <w:p w14:paraId="3D6C22F5" w14:textId="77777777" w:rsidR="00ED5EBF" w:rsidRDefault="00ED5EBF">
      <w:pPr>
        <w:pStyle w:val="20"/>
        <w:tabs>
          <w:tab w:val="right" w:leader="hyphen" w:pos="8300"/>
        </w:tabs>
        <w:spacing w:line="360" w:lineRule="auto"/>
        <w:ind w:left="480"/>
        <w:rPr>
          <w:rFonts w:ascii="仿宋" w:eastAsia="仿宋" w:hAnsi="仿宋" w:cs="仿宋"/>
          <w:szCs w:val="28"/>
        </w:rPr>
        <w:sectPr w:rsidR="00ED5EBF">
          <w:footerReference w:type="default" r:id="rId7"/>
          <w:pgSz w:w="11900" w:h="16840"/>
          <w:pgMar w:top="1440" w:right="1800" w:bottom="1440" w:left="1800" w:header="851" w:footer="992" w:gutter="0"/>
          <w:pgNumType w:start="1"/>
          <w:cols w:space="425"/>
          <w:docGrid w:type="lines" w:linePitch="312"/>
        </w:sectPr>
      </w:pPr>
    </w:p>
    <w:p w14:paraId="7885DC74" w14:textId="77777777" w:rsidR="00ED5EBF" w:rsidRDefault="002034C8">
      <w:pPr>
        <w:pStyle w:val="20"/>
        <w:tabs>
          <w:tab w:val="right" w:leader="hyphen" w:pos="8300"/>
        </w:tabs>
        <w:spacing w:line="360" w:lineRule="auto"/>
        <w:ind w:left="480"/>
        <w:rPr>
          <w:rFonts w:ascii="仿宋" w:eastAsia="仿宋" w:hAnsi="仿宋" w:cs="仿宋"/>
        </w:rPr>
      </w:pPr>
      <w:hyperlink w:anchor="银监会：商业银行股权管理明确“存量违规”清理规则" w:history="1">
        <w:r>
          <w:rPr>
            <w:rStyle w:val="aa"/>
            <w:rFonts w:ascii="仿宋" w:eastAsia="仿宋" w:hAnsi="仿宋" w:cs="仿宋" w:hint="eastAsia"/>
          </w:rPr>
          <w:t>2.11</w:t>
        </w:r>
        <w:r>
          <w:rPr>
            <w:rStyle w:val="aa"/>
            <w:rFonts w:ascii="仿宋" w:eastAsia="仿宋" w:hAnsi="仿宋" w:cs="仿宋" w:hint="eastAsia"/>
          </w:rPr>
          <w:t>银监会：商业银行股权管理明确“存量违规”清理规则</w:t>
        </w:r>
        <w:r>
          <w:rPr>
            <w:rStyle w:val="aa"/>
            <w:rFonts w:ascii="仿宋" w:eastAsia="仿宋" w:hAnsi="仿宋" w:cs="仿宋" w:hint="eastAsia"/>
          </w:rPr>
          <w:tab/>
        </w:r>
        <w:r>
          <w:rPr>
            <w:rStyle w:val="aa"/>
            <w:rFonts w:ascii="仿宋" w:eastAsia="仿宋" w:hAnsi="仿宋" w:cs="仿宋" w:hint="eastAsia"/>
          </w:rPr>
          <w:t>7</w:t>
        </w:r>
      </w:hyperlink>
      <w:r>
        <w:rPr>
          <w:rFonts w:ascii="仿宋" w:eastAsia="仿宋" w:hAnsi="仿宋" w:cs="仿宋" w:hint="eastAsia"/>
          <w:szCs w:val="28"/>
        </w:rPr>
        <w:t>4</w:t>
      </w:r>
    </w:p>
    <w:p w14:paraId="42674AF9" w14:textId="77777777" w:rsidR="00ED5EBF" w:rsidRDefault="002034C8">
      <w:pPr>
        <w:pStyle w:val="20"/>
        <w:tabs>
          <w:tab w:val="right" w:leader="hyphen" w:pos="8300"/>
        </w:tabs>
        <w:spacing w:line="360" w:lineRule="auto"/>
        <w:ind w:left="480"/>
        <w:rPr>
          <w:rFonts w:ascii="仿宋" w:eastAsia="仿宋" w:hAnsi="仿宋" w:cs="仿宋"/>
        </w:rPr>
      </w:pPr>
      <w:hyperlink w:anchor="证监会通报2017年下半年IPO企业现场检查及问题处理情况" w:history="1">
        <w:r>
          <w:rPr>
            <w:rStyle w:val="aa"/>
            <w:rFonts w:ascii="仿宋" w:eastAsia="仿宋" w:hAnsi="仿宋" w:cs="仿宋" w:hint="eastAsia"/>
          </w:rPr>
          <w:t>2.12</w:t>
        </w:r>
        <w:r>
          <w:rPr>
            <w:rStyle w:val="aa"/>
            <w:rFonts w:ascii="仿宋" w:eastAsia="仿宋" w:hAnsi="仿宋" w:cs="仿宋" w:hint="eastAsia"/>
          </w:rPr>
          <w:t>证监会通报</w:t>
        </w:r>
        <w:r>
          <w:rPr>
            <w:rStyle w:val="aa"/>
            <w:rFonts w:ascii="仿宋" w:eastAsia="仿宋" w:hAnsi="仿宋" w:cs="仿宋" w:hint="eastAsia"/>
          </w:rPr>
          <w:t>2017</w:t>
        </w:r>
        <w:r>
          <w:rPr>
            <w:rStyle w:val="aa"/>
            <w:rFonts w:ascii="仿宋" w:eastAsia="仿宋" w:hAnsi="仿宋" w:cs="仿宋" w:hint="eastAsia"/>
          </w:rPr>
          <w:t>年下半年</w:t>
        </w:r>
        <w:r>
          <w:rPr>
            <w:rStyle w:val="aa"/>
            <w:rFonts w:ascii="仿宋" w:eastAsia="仿宋" w:hAnsi="仿宋" w:cs="仿宋" w:hint="eastAsia"/>
          </w:rPr>
          <w:t>IPO</w:t>
        </w:r>
        <w:r>
          <w:rPr>
            <w:rStyle w:val="aa"/>
            <w:rFonts w:ascii="仿宋" w:eastAsia="仿宋" w:hAnsi="仿宋" w:cs="仿宋" w:hint="eastAsia"/>
          </w:rPr>
          <w:t>企业现场检查及问题处理情况</w:t>
        </w:r>
        <w:r>
          <w:rPr>
            <w:rStyle w:val="aa"/>
            <w:rFonts w:ascii="仿宋" w:eastAsia="仿宋" w:hAnsi="仿宋" w:cs="仿宋" w:hint="eastAsia"/>
          </w:rPr>
          <w:tab/>
        </w:r>
        <w:r>
          <w:rPr>
            <w:rStyle w:val="aa"/>
            <w:rFonts w:ascii="仿宋" w:eastAsia="仿宋" w:hAnsi="仿宋" w:cs="仿宋" w:hint="eastAsia"/>
          </w:rPr>
          <w:t>7</w:t>
        </w:r>
      </w:hyperlink>
      <w:r>
        <w:rPr>
          <w:rFonts w:ascii="仿宋" w:eastAsia="仿宋" w:hAnsi="仿宋" w:cs="仿宋" w:hint="eastAsia"/>
          <w:szCs w:val="28"/>
        </w:rPr>
        <w:t>9</w:t>
      </w:r>
    </w:p>
    <w:p w14:paraId="0FB3FD9D" w14:textId="77777777" w:rsidR="00ED5EBF" w:rsidRDefault="002034C8">
      <w:pPr>
        <w:pStyle w:val="20"/>
        <w:tabs>
          <w:tab w:val="right" w:leader="hyphen" w:pos="8300"/>
        </w:tabs>
        <w:spacing w:line="360" w:lineRule="auto"/>
        <w:ind w:left="480"/>
        <w:rPr>
          <w:rFonts w:ascii="仿宋" w:eastAsia="仿宋" w:hAnsi="仿宋" w:cs="仿宋"/>
        </w:rPr>
      </w:pPr>
      <w:hyperlink w:anchor="证监会：新退市制度已包含投资者保护安排" w:history="1">
        <w:r>
          <w:rPr>
            <w:rStyle w:val="aa"/>
            <w:rFonts w:ascii="仿宋" w:eastAsia="仿宋" w:hAnsi="仿宋" w:cs="仿宋" w:hint="eastAsia"/>
          </w:rPr>
          <w:t>2.13</w:t>
        </w:r>
        <w:r>
          <w:rPr>
            <w:rStyle w:val="aa"/>
            <w:rFonts w:ascii="仿宋" w:eastAsia="仿宋" w:hAnsi="仿宋" w:cs="仿宋" w:hint="eastAsia"/>
          </w:rPr>
          <w:t>证监会：新退市制度已包含投资者保护安排</w:t>
        </w:r>
        <w:r>
          <w:rPr>
            <w:rStyle w:val="aa"/>
            <w:rFonts w:ascii="仿宋" w:eastAsia="仿宋" w:hAnsi="仿宋" w:cs="仿宋" w:hint="eastAsia"/>
          </w:rPr>
          <w:tab/>
        </w:r>
        <w:r>
          <w:rPr>
            <w:rStyle w:val="aa"/>
            <w:rFonts w:ascii="仿宋" w:eastAsia="仿宋" w:hAnsi="仿宋" w:cs="仿宋" w:hint="eastAsia"/>
          </w:rPr>
          <w:t>8</w:t>
        </w:r>
      </w:hyperlink>
      <w:r>
        <w:rPr>
          <w:rFonts w:ascii="仿宋" w:eastAsia="仿宋" w:hAnsi="仿宋" w:cs="仿宋" w:hint="eastAsia"/>
          <w:szCs w:val="28"/>
        </w:rPr>
        <w:t>1</w:t>
      </w:r>
    </w:p>
    <w:p w14:paraId="07152AA2" w14:textId="77777777" w:rsidR="00ED5EBF" w:rsidRDefault="002034C8">
      <w:pPr>
        <w:pStyle w:val="20"/>
        <w:tabs>
          <w:tab w:val="right" w:leader="hyphen" w:pos="8300"/>
        </w:tabs>
        <w:spacing w:line="360" w:lineRule="auto"/>
        <w:ind w:left="480"/>
        <w:rPr>
          <w:rFonts w:ascii="仿宋" w:eastAsia="仿宋" w:hAnsi="仿宋" w:cs="仿宋"/>
        </w:rPr>
      </w:pPr>
      <w:hyperlink w:anchor="中国保监会关于调整部分地区商业车险自主定价范围的通知" w:history="1">
        <w:r>
          <w:rPr>
            <w:rStyle w:val="aa"/>
            <w:rFonts w:ascii="仿宋" w:eastAsia="仿宋" w:hAnsi="仿宋" w:cs="仿宋" w:hint="eastAsia"/>
          </w:rPr>
          <w:t>2.14</w:t>
        </w:r>
        <w:r>
          <w:rPr>
            <w:rStyle w:val="aa"/>
            <w:rFonts w:ascii="仿宋" w:eastAsia="仿宋" w:hAnsi="仿宋" w:cs="仿宋" w:hint="eastAsia"/>
          </w:rPr>
          <w:t>中国保监会关于调整部分地区商业车险自主定价范围的通知</w:t>
        </w:r>
        <w:r>
          <w:rPr>
            <w:rStyle w:val="aa"/>
            <w:rFonts w:ascii="仿宋" w:eastAsia="仿宋" w:hAnsi="仿宋" w:cs="仿宋" w:hint="eastAsia"/>
          </w:rPr>
          <w:tab/>
        </w:r>
        <w:r>
          <w:rPr>
            <w:rStyle w:val="aa"/>
            <w:rFonts w:ascii="仿宋" w:eastAsia="仿宋" w:hAnsi="仿宋" w:cs="仿宋" w:hint="eastAsia"/>
          </w:rPr>
          <w:t>8</w:t>
        </w:r>
      </w:hyperlink>
      <w:r>
        <w:rPr>
          <w:rFonts w:ascii="仿宋" w:eastAsia="仿宋" w:hAnsi="仿宋" w:cs="仿宋" w:hint="eastAsia"/>
          <w:szCs w:val="28"/>
        </w:rPr>
        <w:t>6</w:t>
      </w:r>
    </w:p>
    <w:p w14:paraId="52113DFA" w14:textId="77777777" w:rsidR="00ED5EBF" w:rsidRDefault="002034C8">
      <w:pPr>
        <w:pStyle w:val="11"/>
        <w:tabs>
          <w:tab w:val="right" w:leader="hyphen" w:pos="8300"/>
        </w:tabs>
        <w:spacing w:line="360" w:lineRule="auto"/>
        <w:rPr>
          <w:rFonts w:ascii="仿宋" w:eastAsia="仿宋" w:hAnsi="仿宋" w:cs="仿宋"/>
          <w:b/>
          <w:bCs/>
        </w:rPr>
      </w:pPr>
      <w:hyperlink w:anchor="_Toc7573" w:history="1">
        <w:r>
          <w:rPr>
            <w:rFonts w:ascii="仿宋" w:eastAsia="仿宋" w:hAnsi="仿宋" w:cs="仿宋" w:hint="eastAsia"/>
            <w:b/>
            <w:bCs/>
          </w:rPr>
          <w:t xml:space="preserve">3. </w:t>
        </w:r>
        <w:r>
          <w:rPr>
            <w:rFonts w:ascii="仿宋" w:eastAsia="仿宋" w:hAnsi="仿宋" w:cs="仿宋" w:hint="eastAsia"/>
            <w:b/>
            <w:bCs/>
          </w:rPr>
          <w:t>行业金融派驻监管</w:t>
        </w:r>
      </w:hyperlink>
    </w:p>
    <w:p w14:paraId="7A837157" w14:textId="77777777" w:rsidR="00ED5EBF" w:rsidRDefault="002034C8">
      <w:pPr>
        <w:pStyle w:val="20"/>
        <w:tabs>
          <w:tab w:val="right" w:leader="hyphen" w:pos="8300"/>
        </w:tabs>
        <w:spacing w:line="360" w:lineRule="auto"/>
        <w:ind w:left="480"/>
        <w:rPr>
          <w:rFonts w:ascii="仿宋" w:eastAsia="仿宋" w:hAnsi="仿宋" w:cs="仿宋"/>
        </w:rPr>
      </w:pPr>
      <w:hyperlink w:anchor="北京银监局全力支持首都经济社会发展优化提升首都核心功能" w:history="1">
        <w:r>
          <w:rPr>
            <w:rStyle w:val="aa"/>
            <w:rFonts w:ascii="仿宋" w:eastAsia="仿宋" w:hAnsi="仿宋" w:cs="仿宋" w:hint="eastAsia"/>
          </w:rPr>
          <w:t>3.1</w:t>
        </w:r>
        <w:r>
          <w:rPr>
            <w:rStyle w:val="aa"/>
            <w:rFonts w:ascii="仿宋" w:eastAsia="仿宋" w:hAnsi="仿宋" w:cs="仿宋" w:hint="eastAsia"/>
          </w:rPr>
          <w:t>北京银监局全力支持首都经济社会发展优化提升首都核心功能</w:t>
        </w:r>
        <w:r>
          <w:rPr>
            <w:rStyle w:val="aa"/>
            <w:rFonts w:ascii="仿宋" w:eastAsia="仿宋" w:hAnsi="仿宋" w:cs="仿宋" w:hint="eastAsia"/>
          </w:rPr>
          <w:tab/>
        </w:r>
        <w:r>
          <w:rPr>
            <w:rStyle w:val="aa"/>
            <w:rFonts w:ascii="仿宋" w:eastAsia="仿宋" w:hAnsi="仿宋" w:cs="仿宋" w:hint="eastAsia"/>
          </w:rPr>
          <w:t>8</w:t>
        </w:r>
      </w:hyperlink>
      <w:r>
        <w:rPr>
          <w:rFonts w:ascii="仿宋" w:eastAsia="仿宋" w:hAnsi="仿宋" w:cs="仿宋" w:hint="eastAsia"/>
          <w:szCs w:val="28"/>
        </w:rPr>
        <w:t>8</w:t>
      </w:r>
    </w:p>
    <w:p w14:paraId="1FA0086D" w14:textId="77777777" w:rsidR="00ED5EBF" w:rsidRDefault="002034C8">
      <w:pPr>
        <w:pStyle w:val="20"/>
        <w:tabs>
          <w:tab w:val="right" w:leader="hyphen" w:pos="8300"/>
        </w:tabs>
        <w:spacing w:line="360" w:lineRule="auto"/>
        <w:ind w:left="480"/>
        <w:rPr>
          <w:rFonts w:ascii="仿宋" w:eastAsia="仿宋" w:hAnsi="仿宋" w:cs="仿宋"/>
        </w:rPr>
      </w:pPr>
      <w:hyperlink w:anchor="北京辖区上市公司监管动态" w:history="1">
        <w:r>
          <w:rPr>
            <w:rStyle w:val="aa"/>
            <w:rFonts w:ascii="仿宋" w:eastAsia="仿宋" w:hAnsi="仿宋" w:cs="仿宋" w:hint="eastAsia"/>
          </w:rPr>
          <w:t>3.2</w:t>
        </w:r>
        <w:r>
          <w:rPr>
            <w:rStyle w:val="aa"/>
            <w:rFonts w:ascii="仿宋" w:eastAsia="仿宋" w:hAnsi="仿宋" w:cs="仿宋" w:hint="eastAsia"/>
          </w:rPr>
          <w:t>北京辖区上市公司监管动态</w:t>
        </w:r>
        <w:r>
          <w:rPr>
            <w:rStyle w:val="aa"/>
            <w:rFonts w:ascii="仿宋" w:eastAsia="仿宋" w:hAnsi="仿宋" w:cs="仿宋" w:hint="eastAsia"/>
          </w:rPr>
          <w:tab/>
        </w:r>
        <w:r>
          <w:rPr>
            <w:rStyle w:val="aa"/>
            <w:rFonts w:ascii="仿宋" w:eastAsia="仿宋" w:hAnsi="仿宋" w:cs="仿宋" w:hint="eastAsia"/>
          </w:rPr>
          <w:t>8</w:t>
        </w:r>
      </w:hyperlink>
      <w:r>
        <w:rPr>
          <w:rFonts w:ascii="仿宋" w:eastAsia="仿宋" w:hAnsi="仿宋" w:cs="仿宋" w:hint="eastAsia"/>
          <w:szCs w:val="28"/>
        </w:rPr>
        <w:t>9</w:t>
      </w:r>
    </w:p>
    <w:p w14:paraId="596FEDC6" w14:textId="77777777" w:rsidR="00ED5EBF" w:rsidRDefault="002034C8">
      <w:pPr>
        <w:pStyle w:val="11"/>
        <w:tabs>
          <w:tab w:val="right" w:leader="hyphen" w:pos="8300"/>
        </w:tabs>
        <w:spacing w:line="360" w:lineRule="auto"/>
        <w:rPr>
          <w:rFonts w:ascii="仿宋" w:eastAsia="仿宋" w:hAnsi="仿宋" w:cs="仿宋"/>
          <w:b/>
          <w:bCs/>
        </w:rPr>
      </w:pPr>
      <w:hyperlink w:anchor="_Toc24335" w:history="1">
        <w:r>
          <w:rPr>
            <w:rFonts w:ascii="仿宋" w:eastAsia="仿宋" w:hAnsi="仿宋" w:cs="仿宋" w:hint="eastAsia"/>
            <w:b/>
            <w:bCs/>
          </w:rPr>
          <w:t xml:space="preserve">4. </w:t>
        </w:r>
        <w:r>
          <w:rPr>
            <w:rFonts w:ascii="仿宋" w:eastAsia="仿宋" w:hAnsi="仿宋" w:cs="仿宋" w:hint="eastAsia"/>
            <w:b/>
            <w:bCs/>
          </w:rPr>
          <w:t>地方金融监管</w:t>
        </w:r>
      </w:hyperlink>
    </w:p>
    <w:p w14:paraId="3601BD44" w14:textId="77777777" w:rsidR="00ED5EBF" w:rsidRDefault="002034C8">
      <w:pPr>
        <w:pStyle w:val="20"/>
        <w:tabs>
          <w:tab w:val="right" w:leader="hyphen" w:pos="8300"/>
        </w:tabs>
        <w:spacing w:line="360" w:lineRule="auto"/>
        <w:ind w:left="480"/>
        <w:rPr>
          <w:rFonts w:ascii="仿宋" w:eastAsia="仿宋" w:hAnsi="仿宋" w:cs="仿宋"/>
        </w:rPr>
      </w:pPr>
      <w:hyperlink w:anchor="中国工商银行北京市分行全面推进普惠金融发展" w:history="1">
        <w:r>
          <w:rPr>
            <w:rStyle w:val="aa"/>
            <w:rFonts w:ascii="仿宋" w:eastAsia="仿宋" w:hAnsi="仿宋" w:cs="仿宋" w:hint="eastAsia"/>
          </w:rPr>
          <w:t>4.1</w:t>
        </w:r>
        <w:r>
          <w:rPr>
            <w:rStyle w:val="aa"/>
            <w:rFonts w:ascii="仿宋" w:eastAsia="仿宋" w:hAnsi="仿宋" w:cs="仿宋" w:hint="eastAsia"/>
          </w:rPr>
          <w:t>中国工商银行北京市分行全面推进普惠金融发展</w:t>
        </w:r>
        <w:r>
          <w:rPr>
            <w:rStyle w:val="aa"/>
            <w:rFonts w:ascii="仿宋" w:eastAsia="仿宋" w:hAnsi="仿宋" w:cs="仿宋" w:hint="eastAsia"/>
          </w:rPr>
          <w:tab/>
        </w:r>
        <w:r>
          <w:rPr>
            <w:rStyle w:val="aa"/>
            <w:rFonts w:ascii="仿宋" w:eastAsia="仿宋" w:hAnsi="仿宋" w:cs="仿宋" w:hint="eastAsia"/>
          </w:rPr>
          <w:t>1</w:t>
        </w:r>
      </w:hyperlink>
      <w:r>
        <w:rPr>
          <w:rFonts w:ascii="仿宋" w:eastAsia="仿宋" w:hAnsi="仿宋" w:cs="仿宋" w:hint="eastAsia"/>
          <w:szCs w:val="28"/>
        </w:rPr>
        <w:t>08</w:t>
      </w:r>
    </w:p>
    <w:p w14:paraId="7BC6A899" w14:textId="77777777" w:rsidR="00ED5EBF" w:rsidRDefault="002034C8">
      <w:pPr>
        <w:pStyle w:val="20"/>
        <w:tabs>
          <w:tab w:val="right" w:leader="hyphen" w:pos="8300"/>
        </w:tabs>
        <w:spacing w:line="360" w:lineRule="auto"/>
        <w:ind w:left="480"/>
        <w:rPr>
          <w:rFonts w:ascii="仿宋" w:eastAsia="仿宋" w:hAnsi="仿宋" w:cs="仿宋"/>
        </w:rPr>
      </w:pPr>
      <w:hyperlink w:anchor="北京将利用区块链等技术打造新型信用监管格局" w:history="1">
        <w:r>
          <w:rPr>
            <w:rStyle w:val="aa"/>
            <w:rFonts w:ascii="仿宋" w:eastAsia="仿宋" w:hAnsi="仿宋" w:cs="仿宋" w:hint="eastAsia"/>
          </w:rPr>
          <w:t>4.2</w:t>
        </w:r>
        <w:r>
          <w:rPr>
            <w:rStyle w:val="aa"/>
            <w:rFonts w:ascii="仿宋" w:eastAsia="仿宋" w:hAnsi="仿宋" w:cs="仿宋" w:hint="eastAsia"/>
          </w:rPr>
          <w:t>北京将利用区块链等技术打造新型信用监管格局</w:t>
        </w:r>
        <w:r>
          <w:rPr>
            <w:rStyle w:val="aa"/>
            <w:rFonts w:ascii="仿宋" w:eastAsia="仿宋" w:hAnsi="仿宋" w:cs="仿宋" w:hint="eastAsia"/>
          </w:rPr>
          <w:tab/>
        </w:r>
        <w:r>
          <w:rPr>
            <w:rStyle w:val="aa"/>
            <w:rFonts w:ascii="仿宋" w:eastAsia="仿宋" w:hAnsi="仿宋" w:cs="仿宋" w:hint="eastAsia"/>
          </w:rPr>
          <w:t>1</w:t>
        </w:r>
      </w:hyperlink>
      <w:r>
        <w:rPr>
          <w:rFonts w:ascii="仿宋" w:eastAsia="仿宋" w:hAnsi="仿宋" w:cs="仿宋" w:hint="eastAsia"/>
          <w:szCs w:val="28"/>
        </w:rPr>
        <w:t>14</w:t>
      </w:r>
    </w:p>
    <w:p w14:paraId="0F3F000E" w14:textId="77777777" w:rsidR="00ED5EBF" w:rsidRDefault="002034C8">
      <w:pPr>
        <w:pStyle w:val="20"/>
        <w:tabs>
          <w:tab w:val="right" w:leader="hyphen" w:pos="8300"/>
        </w:tabs>
        <w:spacing w:line="360" w:lineRule="auto"/>
        <w:ind w:left="480"/>
        <w:rPr>
          <w:rFonts w:ascii="仿宋" w:eastAsia="仿宋" w:hAnsi="仿宋" w:cs="仿宋"/>
        </w:rPr>
      </w:pPr>
      <w:hyperlink w:anchor="金融业今年聚焦防风险攻坚战" w:history="1">
        <w:r>
          <w:rPr>
            <w:rStyle w:val="aa"/>
            <w:rFonts w:ascii="仿宋" w:eastAsia="仿宋" w:hAnsi="仿宋" w:cs="仿宋" w:hint="eastAsia"/>
          </w:rPr>
          <w:t>4.3</w:t>
        </w:r>
        <w:r>
          <w:rPr>
            <w:rStyle w:val="aa"/>
            <w:rFonts w:ascii="仿宋" w:eastAsia="仿宋" w:hAnsi="仿宋" w:cs="仿宋" w:hint="eastAsia"/>
          </w:rPr>
          <w:t>金融业今年聚焦防风险攻坚战</w:t>
        </w:r>
        <w:r>
          <w:rPr>
            <w:rStyle w:val="aa"/>
            <w:rFonts w:ascii="仿宋" w:eastAsia="仿宋" w:hAnsi="仿宋" w:cs="仿宋" w:hint="eastAsia"/>
          </w:rPr>
          <w:tab/>
        </w:r>
        <w:r>
          <w:rPr>
            <w:rStyle w:val="aa"/>
            <w:rFonts w:ascii="仿宋" w:eastAsia="仿宋" w:hAnsi="仿宋" w:cs="仿宋" w:hint="eastAsia"/>
          </w:rPr>
          <w:t>1</w:t>
        </w:r>
      </w:hyperlink>
      <w:r>
        <w:rPr>
          <w:rFonts w:ascii="仿宋" w:eastAsia="仿宋" w:hAnsi="仿宋" w:cs="仿宋" w:hint="eastAsia"/>
          <w:szCs w:val="28"/>
        </w:rPr>
        <w:t>16</w:t>
      </w:r>
    </w:p>
    <w:p w14:paraId="7EF1BFF8" w14:textId="77777777" w:rsidR="00ED5EBF" w:rsidRDefault="002034C8">
      <w:pPr>
        <w:pStyle w:val="20"/>
        <w:tabs>
          <w:tab w:val="right" w:leader="hyphen" w:pos="8300"/>
        </w:tabs>
        <w:spacing w:line="360" w:lineRule="auto"/>
        <w:ind w:left="480"/>
        <w:rPr>
          <w:rFonts w:ascii="仿宋" w:eastAsia="仿宋" w:hAnsi="仿宋" w:cs="仿宋"/>
        </w:rPr>
      </w:pPr>
      <w:hyperlink w:anchor="中国银监会等五部门联手支持商业银行资本工具创新" w:history="1">
        <w:r>
          <w:rPr>
            <w:rStyle w:val="aa"/>
            <w:rFonts w:ascii="仿宋" w:eastAsia="仿宋" w:hAnsi="仿宋" w:cs="仿宋" w:hint="eastAsia"/>
          </w:rPr>
          <w:t>4.4</w:t>
        </w:r>
        <w:r>
          <w:rPr>
            <w:rStyle w:val="aa"/>
            <w:rFonts w:ascii="仿宋" w:eastAsia="仿宋" w:hAnsi="仿宋" w:cs="仿宋" w:hint="eastAsia"/>
          </w:rPr>
          <w:t>中国银监会等五部门联手支持商业银行资本工具创新</w:t>
        </w:r>
        <w:r>
          <w:rPr>
            <w:rStyle w:val="aa"/>
            <w:rFonts w:ascii="仿宋" w:eastAsia="仿宋" w:hAnsi="仿宋" w:cs="仿宋" w:hint="eastAsia"/>
          </w:rPr>
          <w:tab/>
        </w:r>
        <w:r>
          <w:rPr>
            <w:rStyle w:val="aa"/>
            <w:rFonts w:ascii="仿宋" w:eastAsia="仿宋" w:hAnsi="仿宋" w:cs="仿宋" w:hint="eastAsia"/>
          </w:rPr>
          <w:t>1</w:t>
        </w:r>
      </w:hyperlink>
      <w:r>
        <w:rPr>
          <w:rFonts w:ascii="仿宋" w:eastAsia="仿宋" w:hAnsi="仿宋" w:cs="仿宋" w:hint="eastAsia"/>
          <w:szCs w:val="28"/>
        </w:rPr>
        <w:t>21</w:t>
      </w:r>
    </w:p>
    <w:p w14:paraId="1B5E97B7" w14:textId="77777777" w:rsidR="00ED5EBF" w:rsidRDefault="002034C8">
      <w:pPr>
        <w:pStyle w:val="20"/>
        <w:tabs>
          <w:tab w:val="right" w:leader="hyphen" w:pos="8300"/>
        </w:tabs>
        <w:spacing w:line="360" w:lineRule="auto"/>
        <w:ind w:left="480"/>
        <w:rPr>
          <w:rFonts w:ascii="仿宋" w:eastAsia="仿宋" w:hAnsi="仿宋" w:cs="仿宋"/>
        </w:rPr>
      </w:pPr>
      <w:hyperlink w:anchor="国务院机构改革：组建中国银行保险监督管理委员会" w:history="1">
        <w:r>
          <w:rPr>
            <w:rStyle w:val="aa"/>
            <w:rFonts w:ascii="仿宋" w:eastAsia="仿宋" w:hAnsi="仿宋" w:cs="仿宋" w:hint="eastAsia"/>
          </w:rPr>
          <w:t>4.5</w:t>
        </w:r>
        <w:r>
          <w:rPr>
            <w:rStyle w:val="aa"/>
            <w:rFonts w:ascii="仿宋" w:eastAsia="仿宋" w:hAnsi="仿宋" w:cs="仿宋" w:hint="eastAsia"/>
          </w:rPr>
          <w:t>国务院机构改革：组建中国银行保险监督管理委员会</w:t>
        </w:r>
        <w:r>
          <w:rPr>
            <w:rStyle w:val="aa"/>
            <w:rFonts w:ascii="仿宋" w:eastAsia="仿宋" w:hAnsi="仿宋" w:cs="仿宋" w:hint="eastAsia"/>
          </w:rPr>
          <w:tab/>
        </w:r>
        <w:r>
          <w:rPr>
            <w:rStyle w:val="aa"/>
            <w:rFonts w:ascii="仿宋" w:eastAsia="仿宋" w:hAnsi="仿宋" w:cs="仿宋" w:hint="eastAsia"/>
          </w:rPr>
          <w:t>1</w:t>
        </w:r>
      </w:hyperlink>
      <w:r>
        <w:rPr>
          <w:rFonts w:ascii="仿宋" w:eastAsia="仿宋" w:hAnsi="仿宋" w:cs="仿宋" w:hint="eastAsia"/>
          <w:szCs w:val="28"/>
        </w:rPr>
        <w:t>23</w:t>
      </w:r>
    </w:p>
    <w:p w14:paraId="16EEFC75" w14:textId="77777777" w:rsidR="00ED5EBF" w:rsidRDefault="002034C8">
      <w:pPr>
        <w:pStyle w:val="20"/>
        <w:tabs>
          <w:tab w:val="right" w:leader="hyphen" w:pos="8300"/>
        </w:tabs>
        <w:spacing w:line="360" w:lineRule="auto"/>
        <w:ind w:left="480"/>
        <w:rPr>
          <w:rFonts w:ascii="仿宋" w:eastAsia="仿宋" w:hAnsi="仿宋" w:cs="仿宋"/>
        </w:rPr>
      </w:pPr>
      <w:hyperlink w:anchor="工行北分成功实现科技金融“百千万”精品工程发展目标" w:history="1">
        <w:r>
          <w:rPr>
            <w:rStyle w:val="aa"/>
            <w:rFonts w:ascii="仿宋" w:eastAsia="仿宋" w:hAnsi="仿宋" w:cs="仿宋" w:hint="eastAsia"/>
          </w:rPr>
          <w:t>4.6</w:t>
        </w:r>
        <w:r>
          <w:rPr>
            <w:rStyle w:val="aa"/>
            <w:rFonts w:ascii="仿宋" w:eastAsia="仿宋" w:hAnsi="仿宋" w:cs="仿宋" w:hint="eastAsia"/>
          </w:rPr>
          <w:t>工行北分成功实现科技金融“百千万”精品工程发展目标</w:t>
        </w:r>
        <w:r>
          <w:rPr>
            <w:rStyle w:val="aa"/>
            <w:rFonts w:ascii="仿宋" w:eastAsia="仿宋" w:hAnsi="仿宋" w:cs="仿宋" w:hint="eastAsia"/>
          </w:rPr>
          <w:tab/>
        </w:r>
        <w:r>
          <w:rPr>
            <w:rStyle w:val="aa"/>
            <w:rFonts w:ascii="仿宋" w:eastAsia="仿宋" w:hAnsi="仿宋" w:cs="仿宋" w:hint="eastAsia"/>
          </w:rPr>
          <w:t>1</w:t>
        </w:r>
      </w:hyperlink>
      <w:r>
        <w:rPr>
          <w:rFonts w:ascii="仿宋" w:eastAsia="仿宋" w:hAnsi="仿宋" w:cs="仿宋" w:hint="eastAsia"/>
          <w:szCs w:val="28"/>
        </w:rPr>
        <w:t>27</w:t>
      </w:r>
    </w:p>
    <w:p w14:paraId="6957D816" w14:textId="77777777" w:rsidR="00ED5EBF" w:rsidRDefault="002034C8">
      <w:pPr>
        <w:pStyle w:val="20"/>
        <w:tabs>
          <w:tab w:val="right" w:leader="hyphen" w:pos="8300"/>
        </w:tabs>
        <w:spacing w:line="360" w:lineRule="auto"/>
        <w:ind w:left="480"/>
        <w:rPr>
          <w:rFonts w:ascii="仿宋" w:eastAsia="仿宋" w:hAnsi="仿宋" w:cs="仿宋"/>
        </w:rPr>
      </w:pPr>
      <w:hyperlink w:anchor="三问实体经济如何实现高质量发展" w:history="1">
        <w:r>
          <w:rPr>
            <w:rStyle w:val="aa"/>
            <w:rFonts w:ascii="仿宋" w:eastAsia="仿宋" w:hAnsi="仿宋" w:cs="仿宋" w:hint="eastAsia"/>
          </w:rPr>
          <w:t>4.7</w:t>
        </w:r>
        <w:r>
          <w:rPr>
            <w:rStyle w:val="aa"/>
            <w:rFonts w:ascii="仿宋" w:eastAsia="仿宋" w:hAnsi="仿宋" w:cs="仿宋" w:hint="eastAsia"/>
          </w:rPr>
          <w:t>三问实体经济如何实现高质量发展</w:t>
        </w:r>
        <w:r>
          <w:rPr>
            <w:rStyle w:val="aa"/>
            <w:rFonts w:ascii="仿宋" w:eastAsia="仿宋" w:hAnsi="仿宋" w:cs="仿宋" w:hint="eastAsia"/>
          </w:rPr>
          <w:tab/>
        </w:r>
        <w:r>
          <w:rPr>
            <w:rStyle w:val="aa"/>
            <w:rFonts w:ascii="仿宋" w:eastAsia="仿宋" w:hAnsi="仿宋" w:cs="仿宋" w:hint="eastAsia"/>
          </w:rPr>
          <w:t>1</w:t>
        </w:r>
      </w:hyperlink>
      <w:r>
        <w:rPr>
          <w:rFonts w:ascii="仿宋" w:eastAsia="仿宋" w:hAnsi="仿宋" w:cs="仿宋" w:hint="eastAsia"/>
          <w:szCs w:val="28"/>
        </w:rPr>
        <w:t>30</w:t>
      </w:r>
    </w:p>
    <w:p w14:paraId="6A09BE0C" w14:textId="77777777" w:rsidR="00ED5EBF" w:rsidRDefault="002034C8">
      <w:pPr>
        <w:pStyle w:val="20"/>
        <w:tabs>
          <w:tab w:val="right" w:leader="hyphen" w:pos="8300"/>
        </w:tabs>
        <w:spacing w:line="360" w:lineRule="auto"/>
        <w:ind w:left="480"/>
        <w:rPr>
          <w:rFonts w:ascii="仿宋" w:eastAsia="仿宋" w:hAnsi="仿宋" w:cs="仿宋"/>
        </w:rPr>
      </w:pPr>
      <w:hyperlink w:anchor="强抓内控兴业银行北京分行打造合规运营新标杆" w:history="1">
        <w:r>
          <w:rPr>
            <w:rStyle w:val="aa"/>
            <w:rFonts w:ascii="仿宋" w:eastAsia="仿宋" w:hAnsi="仿宋" w:cs="仿宋" w:hint="eastAsia"/>
          </w:rPr>
          <w:t>4.8</w:t>
        </w:r>
        <w:r>
          <w:rPr>
            <w:rStyle w:val="aa"/>
            <w:rFonts w:ascii="仿宋" w:eastAsia="仿宋" w:hAnsi="仿宋" w:cs="仿宋" w:hint="eastAsia"/>
          </w:rPr>
          <w:t>强抓内控</w:t>
        </w:r>
        <w:r>
          <w:rPr>
            <w:rStyle w:val="aa"/>
            <w:rFonts w:ascii="仿宋" w:eastAsia="仿宋" w:hAnsi="仿宋" w:cs="仿宋" w:hint="eastAsia"/>
          </w:rPr>
          <w:t xml:space="preserve"> </w:t>
        </w:r>
        <w:r>
          <w:rPr>
            <w:rStyle w:val="aa"/>
            <w:rFonts w:ascii="仿宋" w:eastAsia="仿宋" w:hAnsi="仿宋" w:cs="仿宋" w:hint="eastAsia"/>
          </w:rPr>
          <w:t>兴业银行北京分行打造合规运营新标杆</w:t>
        </w:r>
        <w:r>
          <w:rPr>
            <w:rStyle w:val="aa"/>
            <w:rFonts w:ascii="仿宋" w:eastAsia="仿宋" w:hAnsi="仿宋" w:cs="仿宋" w:hint="eastAsia"/>
          </w:rPr>
          <w:tab/>
        </w:r>
        <w:r>
          <w:rPr>
            <w:rStyle w:val="aa"/>
            <w:rFonts w:ascii="仿宋" w:eastAsia="仿宋" w:hAnsi="仿宋" w:cs="仿宋" w:hint="eastAsia"/>
          </w:rPr>
          <w:t>1</w:t>
        </w:r>
      </w:hyperlink>
      <w:r>
        <w:rPr>
          <w:rFonts w:ascii="仿宋" w:eastAsia="仿宋" w:hAnsi="仿宋" w:cs="仿宋" w:hint="eastAsia"/>
          <w:szCs w:val="28"/>
        </w:rPr>
        <w:t>36</w:t>
      </w:r>
    </w:p>
    <w:p w14:paraId="12CCCE72" w14:textId="77777777" w:rsidR="00ED5EBF" w:rsidRDefault="002034C8">
      <w:pPr>
        <w:pStyle w:val="20"/>
        <w:tabs>
          <w:tab w:val="right" w:leader="hyphen" w:pos="8300"/>
        </w:tabs>
        <w:spacing w:line="360" w:lineRule="auto"/>
        <w:ind w:left="480"/>
        <w:rPr>
          <w:rFonts w:ascii="仿宋" w:eastAsia="仿宋" w:hAnsi="仿宋" w:cs="仿宋"/>
        </w:rPr>
      </w:pPr>
      <w:hyperlink w:anchor="智能化成银行业发展趋势" w:history="1">
        <w:r>
          <w:rPr>
            <w:rStyle w:val="aa"/>
            <w:rFonts w:ascii="仿宋" w:eastAsia="仿宋" w:hAnsi="仿宋" w:cs="仿宋" w:hint="eastAsia"/>
          </w:rPr>
          <w:t>4.9</w:t>
        </w:r>
        <w:r>
          <w:rPr>
            <w:rStyle w:val="aa"/>
            <w:rFonts w:ascii="仿宋" w:eastAsia="仿宋" w:hAnsi="仿宋" w:cs="仿宋" w:hint="eastAsia"/>
          </w:rPr>
          <w:t>智能化成银行业发展趋势</w:t>
        </w:r>
        <w:r>
          <w:rPr>
            <w:rStyle w:val="aa"/>
            <w:rFonts w:ascii="仿宋" w:eastAsia="仿宋" w:hAnsi="仿宋" w:cs="仿宋" w:hint="eastAsia"/>
          </w:rPr>
          <w:tab/>
        </w:r>
        <w:r>
          <w:rPr>
            <w:rStyle w:val="aa"/>
            <w:rFonts w:ascii="仿宋" w:eastAsia="仿宋" w:hAnsi="仿宋" w:cs="仿宋" w:hint="eastAsia"/>
          </w:rPr>
          <w:t>1</w:t>
        </w:r>
      </w:hyperlink>
      <w:r>
        <w:rPr>
          <w:rFonts w:ascii="仿宋" w:eastAsia="仿宋" w:hAnsi="仿宋" w:cs="仿宋" w:hint="eastAsia"/>
          <w:szCs w:val="28"/>
        </w:rPr>
        <w:t>38</w:t>
      </w:r>
    </w:p>
    <w:p w14:paraId="56189719" w14:textId="77777777" w:rsidR="00ED5EBF" w:rsidRDefault="002034C8">
      <w:pPr>
        <w:pStyle w:val="20"/>
        <w:tabs>
          <w:tab w:val="right" w:leader="hyphen" w:pos="8300"/>
        </w:tabs>
        <w:spacing w:line="360" w:lineRule="auto"/>
        <w:ind w:left="480"/>
        <w:rPr>
          <w:rFonts w:ascii="仿宋" w:eastAsia="仿宋" w:hAnsi="仿宋" w:cs="仿宋"/>
        </w:rPr>
      </w:pPr>
      <w:hyperlink w:anchor="把脉高质量发展发展更高层次的开放型经济" w:history="1">
        <w:r>
          <w:rPr>
            <w:rStyle w:val="aa"/>
            <w:rFonts w:ascii="仿宋" w:eastAsia="仿宋" w:hAnsi="仿宋" w:cs="仿宋" w:hint="eastAsia"/>
          </w:rPr>
          <w:t>4.10</w:t>
        </w:r>
        <w:r>
          <w:rPr>
            <w:rStyle w:val="aa"/>
            <w:rFonts w:ascii="仿宋" w:eastAsia="仿宋" w:hAnsi="仿宋" w:cs="仿宋" w:hint="eastAsia"/>
          </w:rPr>
          <w:t>把脉高质量发展</w:t>
        </w:r>
        <w:r>
          <w:rPr>
            <w:rStyle w:val="aa"/>
            <w:rFonts w:ascii="仿宋" w:eastAsia="仿宋" w:hAnsi="仿宋" w:cs="仿宋" w:hint="eastAsia"/>
          </w:rPr>
          <w:t xml:space="preserve"> </w:t>
        </w:r>
        <w:r>
          <w:rPr>
            <w:rStyle w:val="aa"/>
            <w:rFonts w:ascii="仿宋" w:eastAsia="仿宋" w:hAnsi="仿宋" w:cs="仿宋" w:hint="eastAsia"/>
          </w:rPr>
          <w:t>发展更高层次的开放型经济</w:t>
        </w:r>
        <w:r>
          <w:rPr>
            <w:rStyle w:val="aa"/>
            <w:rFonts w:ascii="仿宋" w:eastAsia="仿宋" w:hAnsi="仿宋" w:cs="仿宋" w:hint="eastAsia"/>
          </w:rPr>
          <w:tab/>
        </w:r>
        <w:r>
          <w:rPr>
            <w:rStyle w:val="aa"/>
            <w:rFonts w:ascii="仿宋" w:eastAsia="仿宋" w:hAnsi="仿宋" w:cs="仿宋" w:hint="eastAsia"/>
          </w:rPr>
          <w:t>1</w:t>
        </w:r>
      </w:hyperlink>
      <w:r>
        <w:rPr>
          <w:rFonts w:ascii="仿宋" w:eastAsia="仿宋" w:hAnsi="仿宋" w:cs="仿宋" w:hint="eastAsia"/>
          <w:szCs w:val="28"/>
        </w:rPr>
        <w:t>40</w:t>
      </w:r>
    </w:p>
    <w:p w14:paraId="08696FF4" w14:textId="77777777" w:rsidR="00ED5EBF" w:rsidRDefault="002034C8">
      <w:pPr>
        <w:pStyle w:val="11"/>
        <w:tabs>
          <w:tab w:val="right" w:leader="hyphen" w:pos="8300"/>
        </w:tabs>
        <w:spacing w:line="360" w:lineRule="auto"/>
        <w:rPr>
          <w:rFonts w:ascii="仿宋" w:eastAsia="仿宋" w:hAnsi="仿宋" w:cs="仿宋"/>
          <w:b/>
          <w:bCs/>
        </w:rPr>
      </w:pPr>
      <w:hyperlink w:anchor="_Toc26816" w:history="1">
        <w:r>
          <w:rPr>
            <w:rFonts w:ascii="仿宋" w:eastAsia="仿宋" w:hAnsi="仿宋" w:cs="仿宋" w:hint="eastAsia"/>
            <w:b/>
            <w:bCs/>
          </w:rPr>
          <w:t xml:space="preserve">5. </w:t>
        </w:r>
        <w:r>
          <w:rPr>
            <w:rFonts w:ascii="仿宋" w:eastAsia="仿宋" w:hAnsi="仿宋" w:cs="仿宋" w:hint="eastAsia"/>
            <w:b/>
            <w:bCs/>
          </w:rPr>
          <w:t>金融自律</w:t>
        </w:r>
      </w:hyperlink>
    </w:p>
    <w:p w14:paraId="4FF89D43" w14:textId="77777777" w:rsidR="00ED5EBF" w:rsidRDefault="002034C8">
      <w:pPr>
        <w:pStyle w:val="20"/>
        <w:tabs>
          <w:tab w:val="right" w:leader="hyphen" w:pos="8300"/>
        </w:tabs>
        <w:spacing w:line="360" w:lineRule="auto"/>
        <w:ind w:left="480"/>
        <w:rPr>
          <w:rFonts w:ascii="仿宋" w:eastAsia="仿宋" w:hAnsi="仿宋" w:cs="仿宋"/>
        </w:rPr>
      </w:pPr>
      <w:hyperlink w:anchor="关于养老目标证券投资基金的基金经理注册登记有关事项的通知" w:history="1">
        <w:r>
          <w:rPr>
            <w:rStyle w:val="aa"/>
            <w:rFonts w:ascii="仿宋" w:eastAsia="仿宋" w:hAnsi="仿宋" w:cs="仿宋" w:hint="eastAsia"/>
          </w:rPr>
          <w:t>5.1</w:t>
        </w:r>
        <w:r>
          <w:rPr>
            <w:rStyle w:val="aa"/>
            <w:rFonts w:ascii="仿宋" w:eastAsia="仿宋" w:hAnsi="仿宋" w:cs="仿宋" w:hint="eastAsia"/>
          </w:rPr>
          <w:t>关于养老目标证券投资基金的基金经理注册登记有关事项的通知</w:t>
        </w:r>
        <w:r>
          <w:rPr>
            <w:rStyle w:val="aa"/>
            <w:rFonts w:ascii="仿宋" w:eastAsia="仿宋" w:hAnsi="仿宋" w:cs="仿宋" w:hint="eastAsia"/>
          </w:rPr>
          <w:tab/>
        </w:r>
        <w:r>
          <w:rPr>
            <w:rStyle w:val="aa"/>
            <w:rFonts w:ascii="仿宋" w:eastAsia="仿宋" w:hAnsi="仿宋" w:cs="仿宋" w:hint="eastAsia"/>
          </w:rPr>
          <w:t>1</w:t>
        </w:r>
      </w:hyperlink>
      <w:r>
        <w:rPr>
          <w:rFonts w:ascii="仿宋" w:eastAsia="仿宋" w:hAnsi="仿宋" w:cs="仿宋" w:hint="eastAsia"/>
          <w:szCs w:val="28"/>
        </w:rPr>
        <w:t>44</w:t>
      </w:r>
    </w:p>
    <w:p w14:paraId="0FB5E0F8" w14:textId="77777777" w:rsidR="00ED5EBF" w:rsidRDefault="002034C8">
      <w:pPr>
        <w:pStyle w:val="20"/>
        <w:tabs>
          <w:tab w:val="right" w:leader="hyphen" w:pos="8300"/>
        </w:tabs>
        <w:spacing w:line="360" w:lineRule="auto"/>
        <w:ind w:left="480"/>
        <w:rPr>
          <w:rFonts w:ascii="仿宋" w:eastAsia="仿宋" w:hAnsi="仿宋" w:cs="仿宋"/>
        </w:rPr>
      </w:pPr>
      <w:hyperlink w:anchor="全面依法加强私募行业的自律工作——中国证券投资基金业协会法制工作委员会、自律监察" w:history="1">
        <w:r>
          <w:rPr>
            <w:rStyle w:val="aa"/>
            <w:rFonts w:ascii="仿宋" w:eastAsia="仿宋" w:hAnsi="仿宋" w:cs="仿宋" w:hint="eastAsia"/>
          </w:rPr>
          <w:t>5.2</w:t>
        </w:r>
        <w:r>
          <w:rPr>
            <w:rStyle w:val="aa"/>
            <w:rFonts w:ascii="仿宋" w:eastAsia="仿宋" w:hAnsi="仿宋" w:cs="仿宋" w:hint="eastAsia"/>
          </w:rPr>
          <w:t>全面依法加强私募行业的自律工作——中国证券投资基金业协会法制工作委员会、自律监察委员会召开联席会议</w:t>
        </w:r>
        <w:r>
          <w:rPr>
            <w:rStyle w:val="aa"/>
            <w:rFonts w:ascii="仿宋" w:eastAsia="仿宋" w:hAnsi="仿宋" w:cs="仿宋" w:hint="eastAsia"/>
          </w:rPr>
          <w:tab/>
        </w:r>
        <w:r>
          <w:rPr>
            <w:rStyle w:val="aa"/>
            <w:rFonts w:ascii="仿宋" w:eastAsia="仿宋" w:hAnsi="仿宋" w:cs="仿宋" w:hint="eastAsia"/>
          </w:rPr>
          <w:t>1</w:t>
        </w:r>
      </w:hyperlink>
      <w:r>
        <w:rPr>
          <w:rFonts w:ascii="仿宋" w:eastAsia="仿宋" w:hAnsi="仿宋" w:cs="仿宋" w:hint="eastAsia"/>
          <w:szCs w:val="28"/>
        </w:rPr>
        <w:t>49</w:t>
      </w:r>
    </w:p>
    <w:p w14:paraId="4F844476" w14:textId="77777777" w:rsidR="00ED5EBF" w:rsidRDefault="002034C8">
      <w:pPr>
        <w:pStyle w:val="20"/>
        <w:tabs>
          <w:tab w:val="right" w:leader="hyphen" w:pos="8300"/>
        </w:tabs>
        <w:spacing w:line="360" w:lineRule="auto"/>
        <w:ind w:left="480"/>
        <w:rPr>
          <w:rFonts w:ascii="仿宋" w:eastAsia="仿宋" w:hAnsi="仿宋" w:cs="仿宋"/>
        </w:rPr>
      </w:pPr>
      <w:hyperlink w:anchor="中国证券投资基金业协会投教专题片全网上线真实案例提示投资风险" w:history="1">
        <w:r>
          <w:rPr>
            <w:rStyle w:val="aa"/>
            <w:rFonts w:ascii="仿宋" w:eastAsia="仿宋" w:hAnsi="仿宋" w:cs="仿宋" w:hint="eastAsia"/>
          </w:rPr>
          <w:t>5.</w:t>
        </w:r>
        <w:r>
          <w:rPr>
            <w:rStyle w:val="aa"/>
            <w:rFonts w:ascii="仿宋" w:eastAsia="仿宋" w:hAnsi="仿宋" w:cs="仿宋" w:hint="eastAsia"/>
          </w:rPr>
          <w:t>3 3</w:t>
        </w:r>
        <w:r>
          <w:rPr>
            <w:rStyle w:val="aa"/>
            <w:rFonts w:ascii="仿宋" w:eastAsia="仿宋" w:hAnsi="仿宋" w:cs="仿宋" w:hint="eastAsia"/>
          </w:rPr>
          <w:t>·</w:t>
        </w:r>
        <w:r>
          <w:rPr>
            <w:rStyle w:val="aa"/>
            <w:rFonts w:ascii="仿宋" w:eastAsia="仿宋" w:hAnsi="仿宋" w:cs="仿宋" w:hint="eastAsia"/>
          </w:rPr>
          <w:t>15</w:t>
        </w:r>
        <w:r>
          <w:rPr>
            <w:rStyle w:val="aa"/>
            <w:rFonts w:ascii="仿宋" w:eastAsia="仿宋" w:hAnsi="仿宋" w:cs="仿宋" w:hint="eastAsia"/>
          </w:rPr>
          <w:t>特别策划︱中国证券投资基金业协会投教专题片全网上线</w:t>
        </w:r>
        <w:r>
          <w:rPr>
            <w:rStyle w:val="aa"/>
            <w:rFonts w:ascii="仿宋" w:eastAsia="仿宋" w:hAnsi="仿宋" w:cs="仿宋" w:hint="eastAsia"/>
          </w:rPr>
          <w:t xml:space="preserve"> </w:t>
        </w:r>
        <w:r>
          <w:rPr>
            <w:rStyle w:val="aa"/>
            <w:rFonts w:ascii="仿宋" w:eastAsia="仿宋" w:hAnsi="仿宋" w:cs="仿宋" w:hint="eastAsia"/>
          </w:rPr>
          <w:t>真实案例提示投资风险——守护财富行动</w:t>
        </w:r>
        <w:r>
          <w:rPr>
            <w:rStyle w:val="aa"/>
            <w:rFonts w:ascii="仿宋" w:eastAsia="仿宋" w:hAnsi="仿宋" w:cs="仿宋" w:hint="eastAsia"/>
          </w:rPr>
          <w:t xml:space="preserve"> </w:t>
        </w:r>
        <w:r>
          <w:rPr>
            <w:rStyle w:val="aa"/>
            <w:rFonts w:ascii="仿宋" w:eastAsia="仿宋" w:hAnsi="仿宋" w:cs="仿宋" w:hint="eastAsia"/>
          </w:rPr>
          <w:t>远离投资陷阱</w:t>
        </w:r>
        <w:r>
          <w:rPr>
            <w:rStyle w:val="aa"/>
            <w:rFonts w:ascii="仿宋" w:eastAsia="仿宋" w:hAnsi="仿宋" w:cs="仿宋" w:hint="eastAsia"/>
          </w:rPr>
          <w:tab/>
        </w:r>
        <w:r>
          <w:rPr>
            <w:rStyle w:val="aa"/>
            <w:rFonts w:ascii="仿宋" w:eastAsia="仿宋" w:hAnsi="仿宋" w:cs="仿宋" w:hint="eastAsia"/>
          </w:rPr>
          <w:t>1</w:t>
        </w:r>
      </w:hyperlink>
      <w:r>
        <w:rPr>
          <w:rFonts w:ascii="仿宋" w:eastAsia="仿宋" w:hAnsi="仿宋" w:cs="仿宋" w:hint="eastAsia"/>
          <w:szCs w:val="28"/>
        </w:rPr>
        <w:t>54</w:t>
      </w:r>
    </w:p>
    <w:p w14:paraId="20434FD1" w14:textId="77777777" w:rsidR="00ED5EBF" w:rsidRDefault="002034C8">
      <w:pPr>
        <w:pStyle w:val="20"/>
        <w:tabs>
          <w:tab w:val="right" w:leader="hyphen" w:pos="8300"/>
        </w:tabs>
        <w:spacing w:line="360" w:lineRule="auto"/>
        <w:ind w:left="480"/>
        <w:rPr>
          <w:rFonts w:ascii="仿宋" w:eastAsia="仿宋" w:hAnsi="仿宋" w:cs="仿宋"/>
        </w:rPr>
      </w:pPr>
      <w:hyperlink w:anchor="中国证券投资基金业协会早期投资行业培训班（第一期）在上海成功举办" w:history="1">
        <w:r>
          <w:rPr>
            <w:rStyle w:val="aa"/>
            <w:rFonts w:ascii="仿宋" w:eastAsia="仿宋" w:hAnsi="仿宋" w:cs="仿宋" w:hint="eastAsia"/>
          </w:rPr>
          <w:t>5.4</w:t>
        </w:r>
        <w:r>
          <w:rPr>
            <w:rStyle w:val="aa"/>
            <w:rFonts w:ascii="仿宋" w:eastAsia="仿宋" w:hAnsi="仿宋" w:cs="仿宋" w:hint="eastAsia"/>
          </w:rPr>
          <w:t>中国证券投资基金业协会早期投资行业培训班（第一期）在上海成功举办</w:t>
        </w:r>
        <w:r>
          <w:rPr>
            <w:rStyle w:val="aa"/>
            <w:rFonts w:ascii="仿宋" w:eastAsia="仿宋" w:hAnsi="仿宋" w:cs="仿宋" w:hint="eastAsia"/>
          </w:rPr>
          <w:tab/>
        </w:r>
        <w:r>
          <w:rPr>
            <w:rStyle w:val="aa"/>
            <w:rFonts w:ascii="仿宋" w:eastAsia="仿宋" w:hAnsi="仿宋" w:cs="仿宋" w:hint="eastAsia"/>
          </w:rPr>
          <w:t>1</w:t>
        </w:r>
      </w:hyperlink>
      <w:r>
        <w:rPr>
          <w:rFonts w:ascii="仿宋" w:eastAsia="仿宋" w:hAnsi="仿宋" w:cs="仿宋" w:hint="eastAsia"/>
          <w:szCs w:val="28"/>
        </w:rPr>
        <w:t>55</w:t>
      </w:r>
    </w:p>
    <w:p w14:paraId="5159BC72" w14:textId="77777777" w:rsidR="00ED5EBF" w:rsidRDefault="002034C8">
      <w:pPr>
        <w:spacing w:line="360" w:lineRule="auto"/>
        <w:jc w:val="center"/>
        <w:rPr>
          <w:b/>
          <w:sz w:val="28"/>
          <w:szCs w:val="28"/>
        </w:rPr>
      </w:pPr>
      <w:r>
        <w:rPr>
          <w:rFonts w:ascii="仿宋" w:eastAsia="仿宋" w:hAnsi="仿宋" w:cs="仿宋" w:hint="eastAsia"/>
          <w:szCs w:val="28"/>
        </w:rPr>
        <w:fldChar w:fldCharType="end"/>
      </w:r>
    </w:p>
    <w:p w14:paraId="7A9F521A" w14:textId="77777777" w:rsidR="00ED5EBF" w:rsidRDefault="00ED5EBF">
      <w:pPr>
        <w:spacing w:line="360" w:lineRule="auto"/>
        <w:ind w:firstLineChars="109" w:firstLine="262"/>
        <w:jc w:val="left"/>
        <w:outlineLvl w:val="1"/>
      </w:pPr>
    </w:p>
    <w:p w14:paraId="4D1DB6D7" w14:textId="77777777" w:rsidR="00ED5EBF" w:rsidRDefault="00ED5EBF">
      <w:pPr>
        <w:spacing w:line="360" w:lineRule="auto"/>
        <w:jc w:val="left"/>
        <w:outlineLvl w:val="1"/>
        <w:rPr>
          <w:b/>
          <w:sz w:val="48"/>
          <w:szCs w:val="48"/>
        </w:rPr>
      </w:pPr>
    </w:p>
    <w:p w14:paraId="07FC38A4" w14:textId="77777777" w:rsidR="00ED5EBF" w:rsidRDefault="00ED5EBF">
      <w:pPr>
        <w:pStyle w:val="1"/>
        <w:widowControl/>
        <w:shd w:val="clear" w:color="auto" w:fill="FFFFFF"/>
        <w:spacing w:before="300" w:beforeAutospacing="0" w:after="225" w:afterAutospacing="0" w:line="480" w:lineRule="atLeast"/>
        <w:jc w:val="center"/>
        <w:rPr>
          <w:rFonts w:ascii="华文中宋" w:eastAsia="华文中宋" w:hAnsi="华文中宋" w:cs="华文中宋" w:hint="default"/>
          <w:color w:val="000000"/>
          <w:sz w:val="24"/>
          <w:szCs w:val="24"/>
          <w:shd w:val="clear" w:color="auto" w:fill="FFFFFF"/>
        </w:rPr>
        <w:sectPr w:rsidR="00ED5EBF">
          <w:footerReference w:type="default" r:id="rId8"/>
          <w:pgSz w:w="11900" w:h="16840"/>
          <w:pgMar w:top="1440" w:right="1800" w:bottom="1440" w:left="1800" w:header="851" w:footer="992" w:gutter="0"/>
          <w:cols w:space="425"/>
          <w:docGrid w:type="lines" w:linePitch="312"/>
        </w:sectPr>
      </w:pPr>
      <w:bookmarkStart w:id="2" w:name="_Toc25941"/>
    </w:p>
    <w:p w14:paraId="72159995" w14:textId="77777777" w:rsidR="00ED5EBF" w:rsidRDefault="002034C8">
      <w:pPr>
        <w:pStyle w:val="1"/>
        <w:widowControl/>
        <w:shd w:val="clear" w:color="auto" w:fill="FFFFFF"/>
        <w:spacing w:before="300" w:beforeAutospacing="0" w:after="225" w:afterAutospacing="0" w:line="480" w:lineRule="atLeast"/>
        <w:jc w:val="center"/>
        <w:rPr>
          <w:rFonts w:ascii="华文中宋" w:eastAsia="华文中宋" w:hAnsi="华文中宋" w:cs="华文中宋" w:hint="default"/>
          <w:color w:val="000000"/>
          <w:sz w:val="24"/>
          <w:szCs w:val="24"/>
        </w:rPr>
      </w:pPr>
      <w:bookmarkStart w:id="3" w:name="十三届人大一次会议举行第二次全体会议"/>
      <w:r>
        <w:rPr>
          <w:rFonts w:ascii="华文中宋" w:eastAsia="华文中宋" w:hAnsi="华文中宋" w:cs="华文中宋"/>
          <w:color w:val="000000"/>
          <w:sz w:val="24"/>
          <w:szCs w:val="24"/>
          <w:shd w:val="clear" w:color="auto" w:fill="FFFFFF"/>
        </w:rPr>
        <w:lastRenderedPageBreak/>
        <w:t>十三届人大一次会议举行第二次全体会议</w:t>
      </w:r>
      <w:bookmarkEnd w:id="2"/>
    </w:p>
    <w:p w14:paraId="41B1D733" w14:textId="77777777" w:rsidR="00ED5EBF" w:rsidRDefault="002034C8">
      <w:pPr>
        <w:pStyle w:val="2"/>
        <w:widowControl/>
        <w:shd w:val="clear" w:color="auto" w:fill="FFFFFF"/>
        <w:spacing w:beforeAutospacing="0" w:after="150" w:afterAutospacing="0"/>
        <w:jc w:val="center"/>
        <w:rPr>
          <w:rFonts w:ascii="华文楷体" w:eastAsia="华文楷体" w:hAnsi="华文楷体" w:cs="华文楷体" w:hint="default"/>
          <w:color w:val="000000"/>
          <w:sz w:val="24"/>
          <w:szCs w:val="24"/>
        </w:rPr>
      </w:pPr>
      <w:bookmarkStart w:id="4" w:name="_Toc10821"/>
      <w:bookmarkEnd w:id="3"/>
      <w:r>
        <w:rPr>
          <w:rFonts w:ascii="华文中宋" w:eastAsia="华文中宋" w:hAnsi="华文中宋" w:cs="华文中宋"/>
          <w:color w:val="000000"/>
          <w:sz w:val="24"/>
          <w:szCs w:val="24"/>
          <w:shd w:val="clear" w:color="auto" w:fill="FFFFFF"/>
        </w:rPr>
        <w:t>习近平李克强栗战书汪洋王沪宁赵乐际韩正等出席</w:t>
      </w:r>
      <w:r>
        <w:rPr>
          <w:rFonts w:ascii="华文中宋" w:eastAsia="华文中宋" w:hAnsi="华文中宋" w:cs="华文中宋"/>
          <w:color w:val="000000"/>
          <w:sz w:val="24"/>
          <w:szCs w:val="24"/>
          <w:shd w:val="clear" w:color="auto" w:fill="FFFFFF"/>
        </w:rPr>
        <w:br/>
      </w:r>
      <w:r>
        <w:rPr>
          <w:rFonts w:ascii="华文中宋" w:eastAsia="华文中宋" w:hAnsi="华文中宋" w:cs="华文中宋"/>
          <w:color w:val="000000"/>
          <w:sz w:val="24"/>
          <w:szCs w:val="24"/>
          <w:shd w:val="clear" w:color="auto" w:fill="FFFFFF"/>
        </w:rPr>
        <w:t>听取和审议最高人民法院工作报告和最高人民检察院工作报告</w:t>
      </w:r>
      <w:bookmarkEnd w:id="4"/>
    </w:p>
    <w:p w14:paraId="5E9992EC" w14:textId="77777777" w:rsidR="00ED5EBF" w:rsidRDefault="002034C8">
      <w:pPr>
        <w:pStyle w:val="a7"/>
        <w:widowControl/>
        <w:shd w:val="clear" w:color="auto" w:fill="FFFFFF"/>
        <w:spacing w:before="150" w:beforeAutospacing="0" w:afterAutospacing="0"/>
        <w:jc w:val="center"/>
        <w:rPr>
          <w:rFonts w:ascii="华文楷体" w:eastAsia="华文楷体" w:hAnsi="华文楷体" w:cs="华文楷体"/>
          <w:color w:val="000000"/>
          <w:sz w:val="21"/>
          <w:szCs w:val="21"/>
        </w:rPr>
      </w:pPr>
      <w:r>
        <w:rPr>
          <w:rFonts w:ascii="华文楷体" w:eastAsia="华文楷体" w:hAnsi="华文楷体" w:cs="华文楷体" w:hint="eastAsia"/>
          <w:color w:val="000000"/>
          <w:sz w:val="21"/>
          <w:szCs w:val="21"/>
          <w:shd w:val="clear" w:color="auto" w:fill="FFFFFF"/>
        </w:rPr>
        <w:t>2018</w:t>
      </w:r>
      <w:r>
        <w:rPr>
          <w:rFonts w:ascii="华文楷体" w:eastAsia="华文楷体" w:hAnsi="华文楷体" w:cs="华文楷体" w:hint="eastAsia"/>
          <w:color w:val="000000"/>
          <w:sz w:val="21"/>
          <w:szCs w:val="21"/>
          <w:shd w:val="clear" w:color="auto" w:fill="FFFFFF"/>
        </w:rPr>
        <w:t>年</w:t>
      </w:r>
      <w:r>
        <w:rPr>
          <w:rFonts w:ascii="华文楷体" w:eastAsia="华文楷体" w:hAnsi="华文楷体" w:cs="华文楷体" w:hint="eastAsia"/>
          <w:color w:val="000000"/>
          <w:sz w:val="21"/>
          <w:szCs w:val="21"/>
          <w:shd w:val="clear" w:color="auto" w:fill="FFFFFF"/>
        </w:rPr>
        <w:t>03</w:t>
      </w:r>
      <w:r>
        <w:rPr>
          <w:rFonts w:ascii="华文楷体" w:eastAsia="华文楷体" w:hAnsi="华文楷体" w:cs="华文楷体" w:hint="eastAsia"/>
          <w:color w:val="000000"/>
          <w:sz w:val="21"/>
          <w:szCs w:val="21"/>
          <w:shd w:val="clear" w:color="auto" w:fill="FFFFFF"/>
        </w:rPr>
        <w:t>月</w:t>
      </w:r>
      <w:r>
        <w:rPr>
          <w:rFonts w:ascii="华文楷体" w:eastAsia="华文楷体" w:hAnsi="华文楷体" w:cs="华文楷体" w:hint="eastAsia"/>
          <w:color w:val="000000"/>
          <w:sz w:val="21"/>
          <w:szCs w:val="21"/>
          <w:shd w:val="clear" w:color="auto" w:fill="FFFFFF"/>
        </w:rPr>
        <w:t>10</w:t>
      </w:r>
      <w:r>
        <w:rPr>
          <w:rFonts w:ascii="华文楷体" w:eastAsia="华文楷体" w:hAnsi="华文楷体" w:cs="华文楷体" w:hint="eastAsia"/>
          <w:color w:val="000000"/>
          <w:sz w:val="21"/>
          <w:szCs w:val="21"/>
          <w:shd w:val="clear" w:color="auto" w:fill="FFFFFF"/>
        </w:rPr>
        <w:t>日</w:t>
      </w:r>
      <w:r>
        <w:rPr>
          <w:rFonts w:ascii="华文楷体" w:eastAsia="华文楷体" w:hAnsi="华文楷体" w:cs="华文楷体" w:hint="eastAsia"/>
          <w:color w:val="000000"/>
          <w:sz w:val="21"/>
          <w:szCs w:val="21"/>
          <w:shd w:val="clear" w:color="auto" w:fill="FFFFFF"/>
        </w:rPr>
        <w:t>  </w:t>
      </w:r>
      <w:r>
        <w:rPr>
          <w:rFonts w:ascii="华文楷体" w:eastAsia="华文楷体" w:hAnsi="华文楷体" w:cs="华文楷体" w:hint="eastAsia"/>
          <w:color w:val="000000"/>
          <w:sz w:val="21"/>
          <w:szCs w:val="21"/>
          <w:shd w:val="clear" w:color="auto" w:fill="FFFFFF"/>
        </w:rPr>
        <w:t>来源：</w:t>
      </w:r>
      <w:hyperlink r:id="rId9" w:tgtFrame="http://cpc.people.com.cn/n1/2018/0310/_blank" w:history="1">
        <w:r>
          <w:rPr>
            <w:rStyle w:val="aa"/>
            <w:rFonts w:ascii="华文楷体" w:eastAsia="华文楷体" w:hAnsi="华文楷体" w:cs="华文楷体" w:hint="eastAsia"/>
            <w:color w:val="000000"/>
            <w:sz w:val="21"/>
            <w:szCs w:val="21"/>
            <w:shd w:val="clear" w:color="auto" w:fill="FFFFFF"/>
          </w:rPr>
          <w:t>人民网－人民日报</w:t>
        </w:r>
      </w:hyperlink>
    </w:p>
    <w:p w14:paraId="44A647F1" w14:textId="77777777" w:rsidR="00ED5EBF" w:rsidRDefault="002034C8">
      <w:pPr>
        <w:pStyle w:val="a7"/>
        <w:widowControl/>
        <w:spacing w:before="302" w:beforeAutospacing="0" w:after="302" w:afterAutospacing="0" w:line="540" w:lineRule="atLeast"/>
        <w:ind w:firstLine="420"/>
        <w:rPr>
          <w:rFonts w:ascii="华文楷体" w:eastAsia="华文楷体" w:hAnsi="华文楷体" w:cs="华文楷体"/>
        </w:rPr>
      </w:pPr>
      <w:r>
        <w:rPr>
          <w:rFonts w:ascii="华文楷体" w:eastAsia="华文楷体" w:hAnsi="华文楷体" w:cs="华文楷体" w:hint="eastAsia"/>
          <w:color w:val="000000"/>
          <w:shd w:val="clear" w:color="auto" w:fill="FFFFFF"/>
        </w:rPr>
        <w:t>十三届全国人大一次会议</w:t>
      </w:r>
      <w:r>
        <w:rPr>
          <w:rFonts w:ascii="华文楷体" w:eastAsia="华文楷体" w:hAnsi="华文楷体" w:cs="华文楷体" w:hint="eastAsia"/>
          <w:color w:val="000000"/>
          <w:shd w:val="clear" w:color="auto" w:fill="FFFFFF"/>
        </w:rPr>
        <w:t>9</w:t>
      </w:r>
      <w:r>
        <w:rPr>
          <w:rFonts w:ascii="华文楷体" w:eastAsia="华文楷体" w:hAnsi="华文楷体" w:cs="华文楷体" w:hint="eastAsia"/>
          <w:color w:val="000000"/>
          <w:shd w:val="clear" w:color="auto" w:fill="FFFFFF"/>
        </w:rPr>
        <w:t>日下午在人民大会堂举行第二次全体会议，听取和审议最高人民法院工作报告和最高人民检察院工作报告。</w:t>
      </w:r>
    </w:p>
    <w:p w14:paraId="3A22CB15" w14:textId="77777777" w:rsidR="00ED5EBF" w:rsidRDefault="002034C8">
      <w:pPr>
        <w:pStyle w:val="a7"/>
        <w:widowControl/>
        <w:spacing w:before="302" w:beforeAutospacing="0" w:after="302" w:afterAutospacing="0" w:line="540" w:lineRule="atLeast"/>
        <w:ind w:firstLine="420"/>
        <w:rPr>
          <w:rFonts w:ascii="华文楷体" w:eastAsia="华文楷体" w:hAnsi="华文楷体" w:cs="华文楷体"/>
        </w:rPr>
      </w:pPr>
      <w:r>
        <w:rPr>
          <w:rFonts w:ascii="华文楷体" w:eastAsia="华文楷体" w:hAnsi="华文楷体" w:cs="华文楷体" w:hint="eastAsia"/>
          <w:color w:val="000000"/>
          <w:shd w:val="clear" w:color="auto" w:fill="FFFFFF"/>
        </w:rPr>
        <w:t>习近平、李克强、栗战书、汪洋、王沪宁、赵乐际、韩正等出席会议。</w:t>
      </w:r>
    </w:p>
    <w:p w14:paraId="63D5B8FF" w14:textId="77777777" w:rsidR="00ED5EBF" w:rsidRDefault="002034C8">
      <w:pPr>
        <w:pStyle w:val="a7"/>
        <w:widowControl/>
        <w:spacing w:before="302" w:beforeAutospacing="0" w:after="302" w:afterAutospacing="0" w:line="540" w:lineRule="atLeast"/>
        <w:ind w:firstLine="420"/>
        <w:rPr>
          <w:rFonts w:ascii="华文楷体" w:eastAsia="华文楷体" w:hAnsi="华文楷体" w:cs="华文楷体"/>
        </w:rPr>
      </w:pPr>
      <w:r>
        <w:rPr>
          <w:rFonts w:ascii="华文楷体" w:eastAsia="华文楷体" w:hAnsi="华文楷体" w:cs="华文楷体" w:hint="eastAsia"/>
          <w:color w:val="000000"/>
          <w:shd w:val="clear" w:color="auto" w:fill="FFFFFF"/>
        </w:rPr>
        <w:t>会议应出席代表</w:t>
      </w:r>
      <w:r>
        <w:rPr>
          <w:rFonts w:ascii="华文楷体" w:eastAsia="华文楷体" w:hAnsi="华文楷体" w:cs="华文楷体" w:hint="eastAsia"/>
          <w:color w:val="000000"/>
          <w:shd w:val="clear" w:color="auto" w:fill="FFFFFF"/>
        </w:rPr>
        <w:t>2980</w:t>
      </w:r>
      <w:r>
        <w:rPr>
          <w:rFonts w:ascii="华文楷体" w:eastAsia="华文楷体" w:hAnsi="华文楷体" w:cs="华文楷体" w:hint="eastAsia"/>
          <w:color w:val="000000"/>
          <w:shd w:val="clear" w:color="auto" w:fill="FFFFFF"/>
        </w:rPr>
        <w:t>人，出席</w:t>
      </w:r>
      <w:r>
        <w:rPr>
          <w:rFonts w:ascii="华文楷体" w:eastAsia="华文楷体" w:hAnsi="华文楷体" w:cs="华文楷体" w:hint="eastAsia"/>
          <w:color w:val="000000"/>
          <w:shd w:val="clear" w:color="auto" w:fill="FFFFFF"/>
        </w:rPr>
        <w:t>2960</w:t>
      </w:r>
      <w:r>
        <w:rPr>
          <w:rFonts w:ascii="华文楷体" w:eastAsia="华文楷体" w:hAnsi="华文楷体" w:cs="华文楷体" w:hint="eastAsia"/>
          <w:color w:val="000000"/>
          <w:shd w:val="clear" w:color="auto" w:fill="FFFFFF"/>
        </w:rPr>
        <w:t>人，缺席</w:t>
      </w:r>
      <w:r>
        <w:rPr>
          <w:rFonts w:ascii="华文楷体" w:eastAsia="华文楷体" w:hAnsi="华文楷体" w:cs="华文楷体" w:hint="eastAsia"/>
          <w:color w:val="000000"/>
          <w:shd w:val="clear" w:color="auto" w:fill="FFFFFF"/>
        </w:rPr>
        <w:t>20</w:t>
      </w:r>
      <w:r>
        <w:rPr>
          <w:rFonts w:ascii="华文楷体" w:eastAsia="华文楷体" w:hAnsi="华文楷体" w:cs="华文楷体" w:hint="eastAsia"/>
          <w:color w:val="000000"/>
          <w:shd w:val="clear" w:color="auto" w:fill="FFFFFF"/>
        </w:rPr>
        <w:t>人，出席人数符合法定人数。</w:t>
      </w:r>
    </w:p>
    <w:p w14:paraId="1926FCB6" w14:textId="77777777" w:rsidR="00ED5EBF" w:rsidRDefault="002034C8">
      <w:pPr>
        <w:pStyle w:val="a7"/>
        <w:widowControl/>
        <w:spacing w:before="302" w:beforeAutospacing="0" w:after="302" w:afterAutospacing="0" w:line="540" w:lineRule="atLeast"/>
        <w:ind w:firstLine="420"/>
        <w:rPr>
          <w:rFonts w:ascii="华文楷体" w:eastAsia="华文楷体" w:hAnsi="华文楷体" w:cs="华文楷体"/>
        </w:rPr>
      </w:pPr>
      <w:r>
        <w:rPr>
          <w:rFonts w:ascii="华文楷体" w:eastAsia="华文楷体" w:hAnsi="华文楷体" w:cs="华文楷体" w:hint="eastAsia"/>
          <w:color w:val="000000"/>
          <w:shd w:val="clear" w:color="auto" w:fill="FFFFFF"/>
        </w:rPr>
        <w:t>最高人民法院院长周强从</w:t>
      </w:r>
      <w:r>
        <w:rPr>
          <w:rFonts w:ascii="华文楷体" w:eastAsia="华文楷体" w:hAnsi="华文楷体" w:cs="华文楷体" w:hint="eastAsia"/>
          <w:color w:val="000000"/>
          <w:shd w:val="clear" w:color="auto" w:fill="FFFFFF"/>
        </w:rPr>
        <w:t>9</w:t>
      </w:r>
      <w:r>
        <w:rPr>
          <w:rFonts w:ascii="华文楷体" w:eastAsia="华文楷体" w:hAnsi="华文楷体" w:cs="华文楷体" w:hint="eastAsia"/>
          <w:color w:val="000000"/>
          <w:shd w:val="clear" w:color="auto" w:fill="FFFFFF"/>
        </w:rPr>
        <w:t>个方面报告了最高人民法院过去五年的主要工作：一是认真贯彻总体国家安全观，深入推进平安中国建设；二是坚持严格公正司法，加强人权司法保障；三是深入贯彻新发展理念，服务保障经济社会持续健康发展；四是坚持以人民为中心的发展思想，努力满</w:t>
      </w:r>
      <w:r>
        <w:rPr>
          <w:rFonts w:ascii="华文楷体" w:eastAsia="华文楷体" w:hAnsi="华文楷体" w:cs="华文楷体" w:hint="eastAsia"/>
          <w:color w:val="000000"/>
          <w:shd w:val="clear" w:color="auto" w:fill="FFFFFF"/>
        </w:rPr>
        <w:t>足人民群众日益增长的多元司法需求；五是攻坚克难，“基本解决执行难”取得重大进展；六是深化司法体制改革，促进审判体系和审判能力现代化；七是深入推进智慧法院建设，开放动态透明便民的阳光司法机制基本形成；八是坚持全面从严治党、从严治院，建设忠诚干净担当的人民法院队伍；九是自觉接受监督，不断改进人民法院工作。</w:t>
      </w:r>
    </w:p>
    <w:p w14:paraId="07B97F14" w14:textId="77777777" w:rsidR="00ED5EBF" w:rsidRDefault="002034C8">
      <w:pPr>
        <w:pStyle w:val="a7"/>
        <w:widowControl/>
        <w:spacing w:before="302" w:beforeAutospacing="0" w:after="302" w:afterAutospacing="0" w:line="540" w:lineRule="atLeast"/>
        <w:ind w:firstLine="420"/>
        <w:rPr>
          <w:rFonts w:ascii="华文楷体" w:eastAsia="华文楷体" w:hAnsi="华文楷体" w:cs="华文楷体"/>
        </w:rPr>
      </w:pPr>
      <w:r>
        <w:rPr>
          <w:rFonts w:ascii="华文楷体" w:eastAsia="华文楷体" w:hAnsi="华文楷体" w:cs="华文楷体" w:hint="eastAsia"/>
          <w:color w:val="000000"/>
          <w:shd w:val="clear" w:color="auto" w:fill="FFFFFF"/>
        </w:rPr>
        <w:t>周强从</w:t>
      </w:r>
      <w:r>
        <w:rPr>
          <w:rFonts w:ascii="华文楷体" w:eastAsia="华文楷体" w:hAnsi="华文楷体" w:cs="华文楷体" w:hint="eastAsia"/>
          <w:color w:val="000000"/>
          <w:shd w:val="clear" w:color="auto" w:fill="FFFFFF"/>
        </w:rPr>
        <w:t>7</w:t>
      </w:r>
      <w:r>
        <w:rPr>
          <w:rFonts w:ascii="华文楷体" w:eastAsia="华文楷体" w:hAnsi="华文楷体" w:cs="华文楷体" w:hint="eastAsia"/>
          <w:color w:val="000000"/>
          <w:shd w:val="clear" w:color="auto" w:fill="FFFFFF"/>
        </w:rPr>
        <w:t>个方面报告了</w:t>
      </w:r>
      <w:r>
        <w:rPr>
          <w:rFonts w:ascii="华文楷体" w:eastAsia="华文楷体" w:hAnsi="华文楷体" w:cs="华文楷体" w:hint="eastAsia"/>
          <w:color w:val="000000"/>
          <w:shd w:val="clear" w:color="auto" w:fill="FFFFFF"/>
        </w:rPr>
        <w:t>2018</w:t>
      </w:r>
      <w:r>
        <w:rPr>
          <w:rFonts w:ascii="华文楷体" w:eastAsia="华文楷体" w:hAnsi="华文楷体" w:cs="华文楷体" w:hint="eastAsia"/>
          <w:color w:val="000000"/>
          <w:shd w:val="clear" w:color="auto" w:fill="FFFFFF"/>
        </w:rPr>
        <w:t>年工作建议：一是深入学习贯彻习近平新时代中国特色社会主义思想；二是依法惩治犯罪，全力维护国家安全和社会稳定；三是依法审理经济领域各类案件，为经济高质量发展营造良好法治环境；四是坚持</w:t>
      </w:r>
      <w:r>
        <w:rPr>
          <w:rFonts w:ascii="华文楷体" w:eastAsia="华文楷体" w:hAnsi="华文楷体" w:cs="华文楷体" w:hint="eastAsia"/>
          <w:color w:val="000000"/>
          <w:shd w:val="clear" w:color="auto" w:fill="FFFFFF"/>
        </w:rPr>
        <w:lastRenderedPageBreak/>
        <w:t>司法为民，切实维护人民群众合法权益；五是深化司法体制改革，完善中国特色社会主义司法制度；六是持续深化司法公开，加快建设智慧法院；七是建设过硬队伍，确保公正廉洁司法。</w:t>
      </w:r>
    </w:p>
    <w:p w14:paraId="724CD524" w14:textId="77777777" w:rsidR="00ED5EBF" w:rsidRDefault="002034C8">
      <w:pPr>
        <w:pStyle w:val="a7"/>
        <w:widowControl/>
        <w:spacing w:before="302" w:beforeAutospacing="0" w:after="302" w:afterAutospacing="0" w:line="540" w:lineRule="atLeast"/>
        <w:ind w:firstLine="420"/>
        <w:rPr>
          <w:rFonts w:ascii="华文楷体" w:eastAsia="华文楷体" w:hAnsi="华文楷体" w:cs="华文楷体"/>
        </w:rPr>
      </w:pPr>
      <w:r>
        <w:rPr>
          <w:rFonts w:ascii="华文楷体" w:eastAsia="华文楷体" w:hAnsi="华文楷体" w:cs="华文楷体" w:hint="eastAsia"/>
          <w:color w:val="000000"/>
          <w:shd w:val="clear" w:color="auto" w:fill="FFFFFF"/>
        </w:rPr>
        <w:t>最高人民检察院检察长曹建明从</w:t>
      </w:r>
      <w:r>
        <w:rPr>
          <w:rFonts w:ascii="华文楷体" w:eastAsia="华文楷体" w:hAnsi="华文楷体" w:cs="华文楷体" w:hint="eastAsia"/>
          <w:color w:val="000000"/>
          <w:shd w:val="clear" w:color="auto" w:fill="FFFFFF"/>
        </w:rPr>
        <w:t>7</w:t>
      </w:r>
      <w:r>
        <w:rPr>
          <w:rFonts w:ascii="华文楷体" w:eastAsia="华文楷体" w:hAnsi="华文楷体" w:cs="华文楷体" w:hint="eastAsia"/>
          <w:color w:val="000000"/>
          <w:shd w:val="clear" w:color="auto" w:fill="FFFFFF"/>
        </w:rPr>
        <w:t>个方面回顾了过去五年检察工作：一是推进平安中国建设，确保国家长治久安、人民安居乐业；二是坚定不移贯彻新发展理念，服务大局保障民生；三是坚持有腐必反，坚定不移“打虎”“拍蝇”“猎狐”；四是全面加强对诉讼活动的法律监督，切实维护司法公正；五是锲而不舍抓落实，加速推进司法体制改革；六是牢记打铁必须自身硬，坚持从严治检、建</w:t>
      </w:r>
      <w:r>
        <w:rPr>
          <w:rFonts w:ascii="华文楷体" w:eastAsia="华文楷体" w:hAnsi="华文楷体" w:cs="华文楷体" w:hint="eastAsia"/>
          <w:color w:val="000000"/>
          <w:shd w:val="clear" w:color="auto" w:fill="FFFFFF"/>
        </w:rPr>
        <w:t>设过硬队伍；七是为人民司法，自觉接受人民监督。</w:t>
      </w:r>
    </w:p>
    <w:p w14:paraId="0899ACBC" w14:textId="77777777" w:rsidR="00ED5EBF" w:rsidRDefault="002034C8">
      <w:pPr>
        <w:pStyle w:val="a7"/>
        <w:widowControl/>
        <w:spacing w:before="302" w:beforeAutospacing="0" w:after="302" w:afterAutospacing="0" w:line="540" w:lineRule="atLeast"/>
        <w:ind w:firstLine="420"/>
        <w:rPr>
          <w:rFonts w:ascii="华文楷体" w:eastAsia="华文楷体" w:hAnsi="华文楷体" w:cs="华文楷体"/>
        </w:rPr>
      </w:pPr>
      <w:r>
        <w:rPr>
          <w:rFonts w:ascii="华文楷体" w:eastAsia="华文楷体" w:hAnsi="华文楷体" w:cs="华文楷体" w:hint="eastAsia"/>
          <w:color w:val="000000"/>
          <w:shd w:val="clear" w:color="auto" w:fill="FFFFFF"/>
        </w:rPr>
        <w:t>关于</w:t>
      </w:r>
      <w:r>
        <w:rPr>
          <w:rFonts w:ascii="华文楷体" w:eastAsia="华文楷体" w:hAnsi="华文楷体" w:cs="华文楷体" w:hint="eastAsia"/>
          <w:color w:val="000000"/>
          <w:shd w:val="clear" w:color="auto" w:fill="FFFFFF"/>
        </w:rPr>
        <w:t>2018</w:t>
      </w:r>
      <w:r>
        <w:rPr>
          <w:rFonts w:ascii="华文楷体" w:eastAsia="华文楷体" w:hAnsi="华文楷体" w:cs="华文楷体" w:hint="eastAsia"/>
          <w:color w:val="000000"/>
          <w:shd w:val="clear" w:color="auto" w:fill="FFFFFF"/>
        </w:rPr>
        <w:t>年工作建议，曹建明说，一是深入学习贯彻习近平新时代中国特色社会主义思想；二是坚决维护国家政治安全、维护社会大局稳定；三是努力为新时代经济社会持续健康发展提供法治保障；四是大力加强法律监督，维护国家法制统一尊严权威；五是坚定改革的政治定力，将改革进行到底；六是落实全面从严治党要求，坚持从严治检，建设一支既政治过硬又本领高强的新时代检察队伍。</w:t>
      </w:r>
    </w:p>
    <w:p w14:paraId="0A845615" w14:textId="77777777" w:rsidR="00ED5EBF" w:rsidRDefault="002034C8">
      <w:pPr>
        <w:pStyle w:val="a7"/>
        <w:widowControl/>
        <w:spacing w:before="302" w:beforeAutospacing="0" w:after="302" w:afterAutospacing="0" w:line="540" w:lineRule="atLeast"/>
        <w:ind w:firstLine="420"/>
        <w:rPr>
          <w:rFonts w:ascii="华文楷体" w:eastAsia="华文楷体" w:hAnsi="华文楷体" w:cs="华文楷体"/>
        </w:rPr>
      </w:pPr>
      <w:r>
        <w:rPr>
          <w:rFonts w:ascii="华文楷体" w:eastAsia="华文楷体" w:hAnsi="华文楷体" w:cs="华文楷体" w:hint="eastAsia"/>
          <w:color w:val="000000"/>
          <w:shd w:val="clear" w:color="auto" w:fill="FFFFFF"/>
        </w:rPr>
        <w:t>大会主席团常务主席、执行主席张春贤主持会议。大会执行主席马逢国、巴音朝鲁、吴英杰、殷一璀、鹿心社、彭清华在主席</w:t>
      </w:r>
      <w:r>
        <w:rPr>
          <w:rFonts w:ascii="华文楷体" w:eastAsia="华文楷体" w:hAnsi="华文楷体" w:cs="华文楷体" w:hint="eastAsia"/>
          <w:color w:val="000000"/>
          <w:shd w:val="clear" w:color="auto" w:fill="FFFFFF"/>
        </w:rPr>
        <w:t>台执行主席席就座。</w:t>
      </w:r>
    </w:p>
    <w:p w14:paraId="11E7166F" w14:textId="77777777" w:rsidR="00ED5EBF" w:rsidRDefault="002034C8">
      <w:pPr>
        <w:pStyle w:val="a7"/>
        <w:widowControl/>
        <w:spacing w:before="302" w:beforeAutospacing="0" w:after="302" w:afterAutospacing="0" w:line="540" w:lineRule="atLeast"/>
        <w:ind w:firstLine="420"/>
        <w:rPr>
          <w:rFonts w:ascii="华文楷体" w:eastAsia="华文楷体" w:hAnsi="华文楷体" w:cs="华文楷体"/>
        </w:rPr>
      </w:pPr>
      <w:r>
        <w:rPr>
          <w:rFonts w:ascii="华文楷体" w:eastAsia="华文楷体" w:hAnsi="华文楷体" w:cs="华文楷体" w:hint="eastAsia"/>
          <w:color w:val="000000"/>
          <w:shd w:val="clear" w:color="auto" w:fill="FFFFFF"/>
        </w:rPr>
        <w:t>（新华社北京</w:t>
      </w:r>
      <w:r>
        <w:rPr>
          <w:rFonts w:ascii="华文楷体" w:eastAsia="华文楷体" w:hAnsi="华文楷体" w:cs="华文楷体" w:hint="eastAsia"/>
          <w:color w:val="000000"/>
          <w:shd w:val="clear" w:color="auto" w:fill="FFFFFF"/>
        </w:rPr>
        <w:t>3</w:t>
      </w:r>
      <w:r>
        <w:rPr>
          <w:rFonts w:ascii="华文楷体" w:eastAsia="华文楷体" w:hAnsi="华文楷体" w:cs="华文楷体" w:hint="eastAsia"/>
          <w:color w:val="000000"/>
          <w:shd w:val="clear" w:color="auto" w:fill="FFFFFF"/>
        </w:rPr>
        <w:t>月</w:t>
      </w:r>
      <w:r>
        <w:rPr>
          <w:rFonts w:ascii="华文楷体" w:eastAsia="华文楷体" w:hAnsi="华文楷体" w:cs="华文楷体" w:hint="eastAsia"/>
          <w:color w:val="000000"/>
          <w:shd w:val="clear" w:color="auto" w:fill="FFFFFF"/>
        </w:rPr>
        <w:t>9</w:t>
      </w:r>
      <w:r>
        <w:rPr>
          <w:rFonts w:ascii="华文楷体" w:eastAsia="华文楷体" w:hAnsi="华文楷体" w:cs="华文楷体" w:hint="eastAsia"/>
          <w:color w:val="000000"/>
          <w:shd w:val="clear" w:color="auto" w:fill="FFFFFF"/>
        </w:rPr>
        <w:t>日电）</w:t>
      </w:r>
    </w:p>
    <w:p w14:paraId="695459A4" w14:textId="77777777" w:rsidR="00ED5EBF" w:rsidRDefault="002034C8">
      <w:pPr>
        <w:pStyle w:val="a7"/>
        <w:widowControl/>
        <w:spacing w:before="302" w:beforeAutospacing="0" w:after="302" w:afterAutospacing="0" w:line="540" w:lineRule="atLeast"/>
        <w:ind w:firstLine="420"/>
        <w:rPr>
          <w:rFonts w:ascii="华文楷体" w:eastAsia="华文楷体" w:hAnsi="华文楷体" w:cs="华文楷体"/>
          <w:color w:val="000000"/>
        </w:rPr>
      </w:pPr>
      <w:r>
        <w:rPr>
          <w:rFonts w:ascii="华文楷体" w:eastAsia="华文楷体" w:hAnsi="华文楷体" w:cs="华文楷体" w:hint="eastAsia"/>
          <w:color w:val="000000"/>
          <w:shd w:val="clear" w:color="auto" w:fill="FFFFFF"/>
        </w:rPr>
        <w:t>《</w:t>
      </w:r>
      <w:r>
        <w:rPr>
          <w:rFonts w:ascii="华文楷体" w:eastAsia="华文楷体" w:hAnsi="华文楷体" w:cs="华文楷体" w:hint="eastAsia"/>
          <w:color w:val="000000"/>
          <w:shd w:val="clear" w:color="auto" w:fill="FFFFFF"/>
        </w:rPr>
        <w:t xml:space="preserve"> </w:t>
      </w:r>
      <w:r>
        <w:rPr>
          <w:rFonts w:ascii="华文楷体" w:eastAsia="华文楷体" w:hAnsi="华文楷体" w:cs="华文楷体" w:hint="eastAsia"/>
          <w:color w:val="000000"/>
          <w:shd w:val="clear" w:color="auto" w:fill="FFFFFF"/>
        </w:rPr>
        <w:t>人民日报</w:t>
      </w:r>
      <w:r>
        <w:rPr>
          <w:rFonts w:ascii="华文楷体" w:eastAsia="华文楷体" w:hAnsi="华文楷体" w:cs="华文楷体" w:hint="eastAsia"/>
          <w:color w:val="000000"/>
          <w:shd w:val="clear" w:color="auto" w:fill="FFFFFF"/>
        </w:rPr>
        <w:t xml:space="preserve"> </w:t>
      </w:r>
      <w:r>
        <w:rPr>
          <w:rFonts w:ascii="华文楷体" w:eastAsia="华文楷体" w:hAnsi="华文楷体" w:cs="华文楷体" w:hint="eastAsia"/>
          <w:color w:val="000000"/>
          <w:shd w:val="clear" w:color="auto" w:fill="FFFFFF"/>
        </w:rPr>
        <w:t>》（</w:t>
      </w:r>
      <w:r>
        <w:rPr>
          <w:rFonts w:ascii="华文楷体" w:eastAsia="华文楷体" w:hAnsi="华文楷体" w:cs="华文楷体" w:hint="eastAsia"/>
          <w:color w:val="000000"/>
          <w:shd w:val="clear" w:color="auto" w:fill="FFFFFF"/>
        </w:rPr>
        <w:t xml:space="preserve"> 2018</w:t>
      </w:r>
      <w:r>
        <w:rPr>
          <w:rFonts w:ascii="华文楷体" w:eastAsia="华文楷体" w:hAnsi="华文楷体" w:cs="华文楷体" w:hint="eastAsia"/>
          <w:color w:val="000000"/>
          <w:shd w:val="clear" w:color="auto" w:fill="FFFFFF"/>
        </w:rPr>
        <w:t>年</w:t>
      </w:r>
      <w:r>
        <w:rPr>
          <w:rFonts w:ascii="华文楷体" w:eastAsia="华文楷体" w:hAnsi="华文楷体" w:cs="华文楷体" w:hint="eastAsia"/>
          <w:color w:val="000000"/>
          <w:shd w:val="clear" w:color="auto" w:fill="FFFFFF"/>
        </w:rPr>
        <w:t>03</w:t>
      </w:r>
      <w:r>
        <w:rPr>
          <w:rFonts w:ascii="华文楷体" w:eastAsia="华文楷体" w:hAnsi="华文楷体" w:cs="华文楷体" w:hint="eastAsia"/>
          <w:color w:val="000000"/>
          <w:shd w:val="clear" w:color="auto" w:fill="FFFFFF"/>
        </w:rPr>
        <w:t>月</w:t>
      </w:r>
      <w:r>
        <w:rPr>
          <w:rFonts w:ascii="华文楷体" w:eastAsia="华文楷体" w:hAnsi="华文楷体" w:cs="华文楷体" w:hint="eastAsia"/>
          <w:color w:val="000000"/>
          <w:shd w:val="clear" w:color="auto" w:fill="FFFFFF"/>
        </w:rPr>
        <w:t>10</w:t>
      </w:r>
      <w:r>
        <w:rPr>
          <w:rFonts w:ascii="华文楷体" w:eastAsia="华文楷体" w:hAnsi="华文楷体" w:cs="华文楷体" w:hint="eastAsia"/>
          <w:color w:val="000000"/>
          <w:shd w:val="clear" w:color="auto" w:fill="FFFFFF"/>
        </w:rPr>
        <w:t>日</w:t>
      </w:r>
      <w:r>
        <w:rPr>
          <w:rFonts w:ascii="华文楷体" w:eastAsia="华文楷体" w:hAnsi="华文楷体" w:cs="华文楷体" w:hint="eastAsia"/>
          <w:color w:val="000000"/>
          <w:shd w:val="clear" w:color="auto" w:fill="FFFFFF"/>
        </w:rPr>
        <w:t xml:space="preserve"> 01 </w:t>
      </w:r>
      <w:r>
        <w:rPr>
          <w:rFonts w:ascii="华文楷体" w:eastAsia="华文楷体" w:hAnsi="华文楷体" w:cs="华文楷体" w:hint="eastAsia"/>
          <w:color w:val="000000"/>
          <w:shd w:val="clear" w:color="auto" w:fill="FFFFFF"/>
        </w:rPr>
        <w:t>版）</w:t>
      </w:r>
      <w:r>
        <w:rPr>
          <w:rFonts w:ascii="华文楷体" w:eastAsia="华文楷体" w:hAnsi="华文楷体" w:cs="华文楷体" w:hint="eastAsia"/>
          <w:color w:val="000000"/>
          <w:shd w:val="clear" w:color="auto" w:fill="FFFFFF"/>
        </w:rPr>
        <w:t xml:space="preserve">   </w:t>
      </w:r>
      <w:r>
        <w:rPr>
          <w:rFonts w:ascii="华文楷体" w:eastAsia="华文楷体" w:hAnsi="华文楷体" w:cs="华文楷体" w:hint="eastAsia"/>
          <w:color w:val="000000"/>
          <w:shd w:val="clear" w:color="auto" w:fill="FFFFFF"/>
          <w:lang w:bidi="ar"/>
        </w:rPr>
        <w:t>(</w:t>
      </w:r>
      <w:r>
        <w:rPr>
          <w:rFonts w:ascii="华文楷体" w:eastAsia="华文楷体" w:hAnsi="华文楷体" w:cs="华文楷体" w:hint="eastAsia"/>
          <w:color w:val="000000"/>
          <w:shd w:val="clear" w:color="auto" w:fill="FFFFFF"/>
          <w:lang w:bidi="ar"/>
        </w:rPr>
        <w:t>责编：宋鹤立、闫妍</w:t>
      </w:r>
      <w:r>
        <w:rPr>
          <w:rFonts w:ascii="华文楷体" w:eastAsia="华文楷体" w:hAnsi="华文楷体" w:cs="华文楷体" w:hint="eastAsia"/>
          <w:color w:val="000000"/>
          <w:shd w:val="clear" w:color="auto" w:fill="FFFFFF"/>
          <w:lang w:bidi="ar"/>
        </w:rPr>
        <w:t>)</w:t>
      </w:r>
    </w:p>
    <w:p w14:paraId="63FFE70E" w14:textId="77777777" w:rsidR="00ED5EBF" w:rsidRDefault="002034C8">
      <w:pPr>
        <w:spacing w:line="360" w:lineRule="auto"/>
        <w:jc w:val="center"/>
        <w:rPr>
          <w:rFonts w:ascii="华文楷体" w:eastAsia="华文楷体" w:hAnsi="华文楷体" w:cs="华文楷体"/>
          <w:bCs/>
          <w:sz w:val="21"/>
          <w:szCs w:val="21"/>
        </w:rPr>
      </w:pPr>
      <w:bookmarkStart w:id="5" w:name="习近平李克强栗战书赵乐际分别参加全国人大会议一些代表团审议"/>
      <w:r>
        <w:rPr>
          <w:rFonts w:ascii="华文中宋" w:eastAsia="华文中宋" w:hAnsi="华文中宋" w:cs="华文中宋" w:hint="eastAsia"/>
          <w:b/>
        </w:rPr>
        <w:lastRenderedPageBreak/>
        <w:t>习近平李克强栗战书赵乐际分别参加全国人大会议一些代表团审议</w:t>
      </w:r>
      <w:bookmarkEnd w:id="5"/>
    </w:p>
    <w:p w14:paraId="6B4FF54D" w14:textId="77777777" w:rsidR="00ED5EBF" w:rsidRDefault="002034C8">
      <w:pPr>
        <w:spacing w:line="360" w:lineRule="auto"/>
        <w:jc w:val="center"/>
        <w:rPr>
          <w:rFonts w:ascii="华文楷体" w:eastAsia="华文楷体" w:hAnsi="华文楷体" w:cs="华文楷体"/>
          <w:bCs/>
          <w:sz w:val="21"/>
          <w:szCs w:val="21"/>
        </w:rPr>
      </w:pPr>
      <w:r>
        <w:rPr>
          <w:rFonts w:ascii="华文楷体" w:eastAsia="华文楷体" w:hAnsi="华文楷体" w:cs="华文楷体" w:hint="eastAsia"/>
          <w:bCs/>
          <w:sz w:val="21"/>
          <w:szCs w:val="21"/>
        </w:rPr>
        <w:t>2018</w:t>
      </w:r>
      <w:r>
        <w:rPr>
          <w:rFonts w:ascii="华文楷体" w:eastAsia="华文楷体" w:hAnsi="华文楷体" w:cs="华文楷体" w:hint="eastAsia"/>
          <w:bCs/>
          <w:sz w:val="21"/>
          <w:szCs w:val="21"/>
        </w:rPr>
        <w:t>年</w:t>
      </w:r>
      <w:r>
        <w:rPr>
          <w:rFonts w:ascii="华文楷体" w:eastAsia="华文楷体" w:hAnsi="华文楷体" w:cs="华文楷体" w:hint="eastAsia"/>
          <w:bCs/>
          <w:sz w:val="21"/>
          <w:szCs w:val="21"/>
        </w:rPr>
        <w:t>03</w:t>
      </w:r>
      <w:r>
        <w:rPr>
          <w:rFonts w:ascii="华文楷体" w:eastAsia="华文楷体" w:hAnsi="华文楷体" w:cs="华文楷体" w:hint="eastAsia"/>
          <w:bCs/>
          <w:sz w:val="21"/>
          <w:szCs w:val="21"/>
        </w:rPr>
        <w:t>月</w:t>
      </w:r>
      <w:r>
        <w:rPr>
          <w:rFonts w:ascii="华文楷体" w:eastAsia="华文楷体" w:hAnsi="华文楷体" w:cs="华文楷体" w:hint="eastAsia"/>
          <w:bCs/>
          <w:sz w:val="21"/>
          <w:szCs w:val="21"/>
        </w:rPr>
        <w:t>11</w:t>
      </w:r>
      <w:r>
        <w:rPr>
          <w:rFonts w:ascii="华文楷体" w:eastAsia="华文楷体" w:hAnsi="华文楷体" w:cs="华文楷体" w:hint="eastAsia"/>
          <w:bCs/>
          <w:sz w:val="21"/>
          <w:szCs w:val="21"/>
        </w:rPr>
        <w:t>日</w:t>
      </w:r>
      <w:r>
        <w:rPr>
          <w:rFonts w:ascii="华文楷体" w:eastAsia="华文楷体" w:hAnsi="华文楷体" w:cs="华文楷体" w:hint="eastAsia"/>
          <w:bCs/>
          <w:sz w:val="21"/>
          <w:szCs w:val="21"/>
        </w:rPr>
        <w:t xml:space="preserve">08:23    </w:t>
      </w:r>
      <w:r>
        <w:rPr>
          <w:rFonts w:ascii="华文楷体" w:eastAsia="华文楷体" w:hAnsi="华文楷体" w:cs="华文楷体" w:hint="eastAsia"/>
          <w:bCs/>
          <w:sz w:val="21"/>
          <w:szCs w:val="21"/>
        </w:rPr>
        <w:t>来源：人民网－人民日报</w:t>
      </w:r>
    </w:p>
    <w:p w14:paraId="7582766B" w14:textId="77777777" w:rsidR="00ED5EBF" w:rsidRDefault="002034C8">
      <w:pPr>
        <w:spacing w:line="360" w:lineRule="auto"/>
        <w:jc w:val="center"/>
        <w:rPr>
          <w:rFonts w:ascii="宋体" w:eastAsia="宋体" w:hAnsi="宋体" w:cs="宋体"/>
        </w:rPr>
      </w:pPr>
      <w:r>
        <w:rPr>
          <w:rFonts w:ascii="宋体" w:eastAsia="宋体" w:hAnsi="宋体" w:cs="宋体"/>
          <w:noProof/>
        </w:rPr>
        <w:drawing>
          <wp:inline distT="0" distB="0" distL="114300" distR="114300" wp14:anchorId="346CBBE0" wp14:editId="4A70580A">
            <wp:extent cx="2486660" cy="1734185"/>
            <wp:effectExtent l="0" t="0" r="8890" b="1841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0"/>
                    <a:stretch>
                      <a:fillRect/>
                    </a:stretch>
                  </pic:blipFill>
                  <pic:spPr>
                    <a:xfrm>
                      <a:off x="0" y="0"/>
                      <a:ext cx="2486660" cy="1734185"/>
                    </a:xfrm>
                    <a:prstGeom prst="rect">
                      <a:avLst/>
                    </a:prstGeom>
                    <a:noFill/>
                    <a:ln w="9525">
                      <a:noFill/>
                    </a:ln>
                  </pic:spPr>
                </pic:pic>
              </a:graphicData>
            </a:graphic>
          </wp:inline>
        </w:drawing>
      </w:r>
    </w:p>
    <w:p w14:paraId="2905D2FF" w14:textId="77777777" w:rsidR="00ED5EBF" w:rsidRDefault="002034C8">
      <w:pPr>
        <w:spacing w:line="360" w:lineRule="auto"/>
        <w:jc w:val="center"/>
        <w:rPr>
          <w:rFonts w:ascii="华文楷体" w:eastAsia="华文楷体" w:hAnsi="华文楷体" w:cs="华文楷体"/>
          <w:color w:val="000000"/>
          <w:sz w:val="21"/>
          <w:szCs w:val="21"/>
          <w:shd w:val="clear" w:color="auto" w:fill="FFFFFF"/>
        </w:rPr>
      </w:pPr>
      <w:r>
        <w:rPr>
          <w:rFonts w:ascii="华文楷体" w:eastAsia="华文楷体" w:hAnsi="华文楷体" w:cs="华文楷体" w:hint="eastAsia"/>
          <w:color w:val="000000"/>
          <w:sz w:val="21"/>
          <w:szCs w:val="21"/>
          <w:shd w:val="clear" w:color="auto" w:fill="FFFFFF"/>
        </w:rPr>
        <w:t>3</w:t>
      </w:r>
      <w:r>
        <w:rPr>
          <w:rFonts w:ascii="华文楷体" w:eastAsia="华文楷体" w:hAnsi="华文楷体" w:cs="华文楷体" w:hint="eastAsia"/>
          <w:color w:val="000000"/>
          <w:sz w:val="21"/>
          <w:szCs w:val="21"/>
          <w:shd w:val="clear" w:color="auto" w:fill="FFFFFF"/>
        </w:rPr>
        <w:t>月</w:t>
      </w:r>
      <w:r>
        <w:rPr>
          <w:rFonts w:ascii="华文楷体" w:eastAsia="华文楷体" w:hAnsi="华文楷体" w:cs="华文楷体" w:hint="eastAsia"/>
          <w:color w:val="000000"/>
          <w:sz w:val="21"/>
          <w:szCs w:val="21"/>
          <w:shd w:val="clear" w:color="auto" w:fill="FFFFFF"/>
        </w:rPr>
        <w:t>10</w:t>
      </w:r>
      <w:r>
        <w:rPr>
          <w:rFonts w:ascii="华文楷体" w:eastAsia="华文楷体" w:hAnsi="华文楷体" w:cs="华文楷体" w:hint="eastAsia"/>
          <w:color w:val="000000"/>
          <w:sz w:val="21"/>
          <w:szCs w:val="21"/>
          <w:shd w:val="clear" w:color="auto" w:fill="FFFFFF"/>
        </w:rPr>
        <w:t>日，中共中央总书记、国家主席、中央军委主席习近平参加十三届全国人大一次会议重庆代表团的审议。新华社记者</w:t>
      </w:r>
      <w:r>
        <w:rPr>
          <w:rFonts w:ascii="华文楷体" w:eastAsia="华文楷体" w:hAnsi="华文楷体" w:cs="华文楷体" w:hint="eastAsia"/>
          <w:color w:val="000000"/>
          <w:sz w:val="21"/>
          <w:szCs w:val="21"/>
          <w:shd w:val="clear" w:color="auto" w:fill="FFFFFF"/>
        </w:rPr>
        <w:t xml:space="preserve"> </w:t>
      </w:r>
      <w:r>
        <w:rPr>
          <w:rFonts w:ascii="华文楷体" w:eastAsia="华文楷体" w:hAnsi="华文楷体" w:cs="华文楷体" w:hint="eastAsia"/>
          <w:color w:val="000000"/>
          <w:sz w:val="21"/>
          <w:szCs w:val="21"/>
          <w:shd w:val="clear" w:color="auto" w:fill="FFFFFF"/>
        </w:rPr>
        <w:t>谢环驰摄</w:t>
      </w:r>
    </w:p>
    <w:p w14:paraId="5F7C384F" w14:textId="77777777" w:rsidR="00ED5EBF" w:rsidRDefault="00ED5EBF">
      <w:pPr>
        <w:spacing w:line="360" w:lineRule="auto"/>
        <w:ind w:firstLineChars="200" w:firstLine="480"/>
        <w:rPr>
          <w:rFonts w:ascii="华文楷体" w:eastAsia="华文楷体" w:hAnsi="华文楷体" w:cs="华文楷体"/>
          <w:color w:val="000000"/>
          <w:shd w:val="clear" w:color="auto" w:fill="FFFFFF"/>
        </w:rPr>
      </w:pPr>
    </w:p>
    <w:p w14:paraId="3B8906F7" w14:textId="77777777" w:rsidR="00ED5EBF" w:rsidRDefault="002034C8">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中共中央总书记、国家主席、中央军委主席习近平，中共中央政治局常委、国务院总理李克强，中共中央政治局常委栗战书，中共中央政治局常委、中央纪委书记赵乐际，</w:t>
      </w:r>
      <w:r>
        <w:rPr>
          <w:rFonts w:ascii="华文楷体" w:eastAsia="华文楷体" w:hAnsi="华文楷体" w:cs="华文楷体" w:hint="eastAsia"/>
          <w:color w:val="000000"/>
          <w:shd w:val="clear" w:color="auto" w:fill="FFFFFF"/>
        </w:rPr>
        <w:t>10</w:t>
      </w:r>
      <w:r>
        <w:rPr>
          <w:rFonts w:ascii="华文楷体" w:eastAsia="华文楷体" w:hAnsi="华文楷体" w:cs="华文楷体" w:hint="eastAsia"/>
          <w:color w:val="000000"/>
          <w:shd w:val="clear" w:color="auto" w:fill="FFFFFF"/>
        </w:rPr>
        <w:t>日上午分别参加了十三届全国人大一次会议一些代表团的审议。</w:t>
      </w:r>
    </w:p>
    <w:p w14:paraId="12DD0A86" w14:textId="77777777" w:rsidR="00ED5EBF" w:rsidRDefault="00ED5EBF">
      <w:pPr>
        <w:spacing w:line="360" w:lineRule="auto"/>
        <w:rPr>
          <w:rFonts w:ascii="华文楷体" w:eastAsia="华文楷体" w:hAnsi="华文楷体" w:cs="华文楷体"/>
          <w:color w:val="000000"/>
          <w:shd w:val="clear" w:color="auto" w:fill="FFFFFF"/>
        </w:rPr>
      </w:pPr>
    </w:p>
    <w:p w14:paraId="44E97386" w14:textId="77777777" w:rsidR="00ED5EBF" w:rsidRDefault="002034C8">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习近平在重庆代表团参加审议。会上，陈敏尔、唐良智、张轩、马善祥、李春奎、朱明跃、刘家奇、沈铁梅等</w:t>
      </w:r>
      <w:r>
        <w:rPr>
          <w:rFonts w:ascii="华文楷体" w:eastAsia="华文楷体" w:hAnsi="华文楷体" w:cs="华文楷体" w:hint="eastAsia"/>
          <w:color w:val="000000"/>
          <w:shd w:val="clear" w:color="auto" w:fill="FFFFFF"/>
        </w:rPr>
        <w:t>8</w:t>
      </w:r>
      <w:r>
        <w:rPr>
          <w:rFonts w:ascii="华文楷体" w:eastAsia="华文楷体" w:hAnsi="华文楷体" w:cs="华文楷体" w:hint="eastAsia"/>
          <w:color w:val="000000"/>
          <w:shd w:val="clear" w:color="auto" w:fill="FFFFFF"/>
        </w:rPr>
        <w:t>位代表先后围绕推动高质量发展、发挥人大在法治建设中作用、加强长江流域生态保护、推进创业创新、加强基层党建、弘扬中华优秀传统文化等问题发表意见。当张轩谈到提高干部法治素养时，习近平强调，我们的党政领导干</w:t>
      </w:r>
      <w:r>
        <w:rPr>
          <w:rFonts w:ascii="华文楷体" w:eastAsia="华文楷体" w:hAnsi="华文楷体" w:cs="华文楷体" w:hint="eastAsia"/>
          <w:color w:val="000000"/>
          <w:shd w:val="clear" w:color="auto" w:fill="FFFFFF"/>
        </w:rPr>
        <w:t>部都应该成为复合型干部，不管在什么岗位工作都要具备基本的知识体系，法律就是其中基本组成部分，对各方面基础性知识，大家都得掌握、不可偏废，在此基础上做到术业有专攻。干部培训体系要围绕这个目标进行改革。听了马善祥关于在基层落实党的十九大精神的发言后，习近平强调，</w:t>
      </w:r>
      <w:r>
        <w:rPr>
          <w:rFonts w:ascii="华文楷体" w:eastAsia="华文楷体" w:hAnsi="华文楷体" w:cs="华文楷体" w:hint="eastAsia"/>
          <w:color w:val="000000"/>
          <w:shd w:val="clear" w:color="auto" w:fill="FFFFFF"/>
        </w:rPr>
        <w:lastRenderedPageBreak/>
        <w:t>中国特色社会主义大厦需要四梁八柱来支撑，党是贯穿其中的总的骨架，党中央是顶梁柱。同时，基础非常重要，基础不牢、地动山摇。在基层就是党支部，上面千条线、下面一根针，必须夯实基层。要有千千万万优秀基层骨干，结合实际情况落实好各项工作。习近平在最后的重要讲话中</w:t>
      </w:r>
      <w:r>
        <w:rPr>
          <w:rFonts w:ascii="华文楷体" w:eastAsia="华文楷体" w:hAnsi="华文楷体" w:cs="华文楷体" w:hint="eastAsia"/>
          <w:color w:val="000000"/>
          <w:shd w:val="clear" w:color="auto" w:fill="FFFFFF"/>
        </w:rPr>
        <w:t>希望重庆广大干部群众团结一致、沉心静气，加快建设内陆开放高地、山清水秀美丽之地，努力推动高质量发展、创造高品质生活，让重庆各项工作迈上新台阶。习近平强调，政治生态同自然生态一样，稍不注意就容易受到污染，一旦出现问题再想恢复就要付出很大代价。形成风清气正的政治生态，是旗帜鲜明讲政治、坚决维护党中央权威和集中统一领导的政治要求，是持之以恒正风肃纪、推动全面从严治党向纵深发展的迫切需要，是锻造优良党风政风、确保改革发展目标顺利实现的重要保障。要加强教育引导，注重破立并举，抓住“关键少数”，推动各级领导干部自觉担当</w:t>
      </w:r>
      <w:r>
        <w:rPr>
          <w:rFonts w:ascii="华文楷体" w:eastAsia="华文楷体" w:hAnsi="华文楷体" w:cs="华文楷体" w:hint="eastAsia"/>
          <w:color w:val="000000"/>
          <w:shd w:val="clear" w:color="auto" w:fill="FFFFFF"/>
        </w:rPr>
        <w:t>领导责任和示范责任，把自己摆进去、把思想摆进去、把工作摆进去，形成“头雁效应”。要坚持法治、反对人治，对宪法法律始终保持敬畏之心，带头在宪法法律范围内活动，严格依照法定权限、规则、程序行使权力、履行职责，做到心中高悬法纪明镜、手中紧握法纪戒尺，知晓为官做事尺度。党员领导干部要牢固树立“四个意识”，严格遵守党的政治纪律和政治规矩，坚决维护党中央权威和集中统一领导，确保党的路线方针政策和党中央决策部署不折不扣得到贯彻落实。要既讲法治又讲德治，重视发挥道德教化作用，把法律和道德的力量、法治和德治的功能紧密结合起来</w:t>
      </w:r>
      <w:r>
        <w:rPr>
          <w:rFonts w:ascii="华文楷体" w:eastAsia="华文楷体" w:hAnsi="华文楷体" w:cs="华文楷体" w:hint="eastAsia"/>
          <w:color w:val="000000"/>
          <w:shd w:val="clear" w:color="auto" w:fill="FFFFFF"/>
        </w:rPr>
        <w:t>，把自律和他律紧密结合起来，引导全社会积极培育和践行社会主义核心价值观，树立良好道德风尚，防止封建腐朽道德文化沉渣泛起。习近平强调，领导干部要讲政德。政德是整个社会道德建设的风向标。立政德，就要明大德、守公德、严私德。明大德，就是要铸牢理想信念、锤炼坚强党性，在大是大</w:t>
      </w:r>
      <w:r>
        <w:rPr>
          <w:rFonts w:ascii="华文楷体" w:eastAsia="华文楷体" w:hAnsi="华文楷体" w:cs="华文楷体" w:hint="eastAsia"/>
          <w:color w:val="000000"/>
          <w:shd w:val="clear" w:color="auto" w:fill="FFFFFF"/>
        </w:rPr>
        <w:lastRenderedPageBreak/>
        <w:t>非面前旗帜鲜明，在风浪考验面前无所畏惧，在各种诱惑面前立场坚定，这是领导干部首先要修好的“大德”。守公德，就是要强化宗旨意识，全心全意为人民服务，恪守立党为公、执政为民理念，自觉践行人民对美好生活的向往就是我们的奋斗目标的承诺，做到心底无私天地</w:t>
      </w:r>
      <w:r>
        <w:rPr>
          <w:rFonts w:ascii="华文楷体" w:eastAsia="华文楷体" w:hAnsi="华文楷体" w:cs="华文楷体" w:hint="eastAsia"/>
          <w:color w:val="000000"/>
          <w:shd w:val="clear" w:color="auto" w:fill="FFFFFF"/>
        </w:rPr>
        <w:t>宽。严私德，就是要严格约束自己的操守和行为。所有党员、干部都要戒贪止欲、克己奉公，切实把人民赋予的权力用来造福于人民。要把家风建设摆在重要位置，廉洁修身，廉洁齐家，防止“枕边风”成为贪腐的导火索，防止子女打着自己的旗号非法牟利，防止身边人把自己“拉下水”。习近平强调，要多积尺寸之功。小事小节是一面镜子，小事小节中有党性、有原则、有人格。要牢记“堤溃蚁孔，气泄针芒”的古训，坚持从小事小节上加强修养，从一点一滴中完善自己，严以修身，正心明道，防微杜渐，时刻保持人民公仆本色。要慎独慎初慎微慎欲，培养和强化自我约束</w:t>
      </w:r>
      <w:r>
        <w:rPr>
          <w:rFonts w:ascii="华文楷体" w:eastAsia="华文楷体" w:hAnsi="华文楷体" w:cs="华文楷体" w:hint="eastAsia"/>
          <w:color w:val="000000"/>
          <w:shd w:val="clear" w:color="auto" w:fill="FFFFFF"/>
        </w:rPr>
        <w:t>、自我控制的意识和能力，做到“心不动于微利之诱，目不眩于五色之惑”。要管好自己的生活圈、交往圈、娱乐圈，在私底下、无人时、细微处更要如履薄冰、如临深渊，始终不放纵、不越轨、不逾矩，增强拒腐防变的免疫力。</w:t>
      </w:r>
    </w:p>
    <w:p w14:paraId="4B01A209" w14:textId="77777777" w:rsidR="00ED5EBF" w:rsidRDefault="00ED5EBF">
      <w:pPr>
        <w:spacing w:line="360" w:lineRule="auto"/>
        <w:rPr>
          <w:rFonts w:ascii="华文楷体" w:eastAsia="华文楷体" w:hAnsi="华文楷体" w:cs="华文楷体"/>
          <w:color w:val="000000"/>
          <w:shd w:val="clear" w:color="auto" w:fill="FFFFFF"/>
        </w:rPr>
      </w:pPr>
    </w:p>
    <w:p w14:paraId="18B2229E" w14:textId="77777777" w:rsidR="00ED5EBF" w:rsidRDefault="002034C8">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李克强在宁夏代表团参加审议。在听取石泰峰、咸辉、马慧娟等代表发言后，李克强表示，完全赞成最高人民法院、最高人民检察院的工作报告。他说，宁夏是西部民族地区，过去</w:t>
      </w:r>
      <w:r>
        <w:rPr>
          <w:rFonts w:ascii="华文楷体" w:eastAsia="华文楷体" w:hAnsi="华文楷体" w:cs="华文楷体" w:hint="eastAsia"/>
          <w:color w:val="000000"/>
          <w:shd w:val="clear" w:color="auto" w:fill="FFFFFF"/>
        </w:rPr>
        <w:t>5</w:t>
      </w:r>
      <w:r>
        <w:rPr>
          <w:rFonts w:ascii="华文楷体" w:eastAsia="华文楷体" w:hAnsi="华文楷体" w:cs="华文楷体" w:hint="eastAsia"/>
          <w:color w:val="000000"/>
          <w:shd w:val="clear" w:color="auto" w:fill="FFFFFF"/>
        </w:rPr>
        <w:t>年经济社会发展成绩令人瞩目。希望宁夏以习近平新时代中国特色社会主义思想为指导，落实好党中央、国务院推进西部大开发部署，打造内陆改革开放新高地，以深</w:t>
      </w:r>
      <w:r>
        <w:rPr>
          <w:rFonts w:ascii="华文楷体" w:eastAsia="华文楷体" w:hAnsi="华文楷体" w:cs="华文楷体" w:hint="eastAsia"/>
          <w:color w:val="000000"/>
          <w:shd w:val="clear" w:color="auto" w:fill="FFFFFF"/>
        </w:rPr>
        <w:t>化“放管服”改革优化营商环境，把市场主体活力更好激发出来，为群众办事提供更多便利。推进供给侧结构性改革，淘汰落后产能，释放先进产能，发展先进制造业，不断培育新动能。着力保障和改善民生，</w:t>
      </w:r>
      <w:r>
        <w:rPr>
          <w:rFonts w:ascii="华文楷体" w:eastAsia="华文楷体" w:hAnsi="华文楷体" w:cs="华文楷体" w:hint="eastAsia"/>
          <w:color w:val="000000"/>
          <w:shd w:val="clear" w:color="auto" w:fill="FFFFFF"/>
        </w:rPr>
        <w:lastRenderedPageBreak/>
        <w:t>坚决打赢脱贫攻坚战，加大生态保护力度，国家支持改善交通等基础设施、基层文化设施条件，积极发展“互联网</w:t>
      </w:r>
      <w:r>
        <w:rPr>
          <w:rFonts w:ascii="华文楷体" w:eastAsia="华文楷体" w:hAnsi="华文楷体" w:cs="华文楷体" w:hint="eastAsia"/>
          <w:color w:val="000000"/>
          <w:shd w:val="clear" w:color="auto" w:fill="FFFFFF"/>
        </w:rPr>
        <w:t>+</w:t>
      </w:r>
      <w:r>
        <w:rPr>
          <w:rFonts w:ascii="华文楷体" w:eastAsia="华文楷体" w:hAnsi="华文楷体" w:cs="华文楷体" w:hint="eastAsia"/>
          <w:color w:val="000000"/>
          <w:shd w:val="clear" w:color="auto" w:fill="FFFFFF"/>
        </w:rPr>
        <w:t>”医疗、教育等，使各族群众的生活一年更比一年好。</w:t>
      </w:r>
    </w:p>
    <w:p w14:paraId="04E6B7BB" w14:textId="77777777" w:rsidR="00ED5EBF" w:rsidRDefault="00ED5EBF">
      <w:pPr>
        <w:spacing w:line="360" w:lineRule="auto"/>
        <w:ind w:firstLineChars="200" w:firstLine="480"/>
        <w:rPr>
          <w:rFonts w:ascii="华文楷体" w:eastAsia="华文楷体" w:hAnsi="华文楷体" w:cs="华文楷体"/>
          <w:color w:val="000000"/>
          <w:shd w:val="clear" w:color="auto" w:fill="FFFFFF"/>
        </w:rPr>
      </w:pPr>
    </w:p>
    <w:p w14:paraId="22233A7B" w14:textId="77777777" w:rsidR="00ED5EBF" w:rsidRDefault="002034C8">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栗战书在云南代表团参加审议。在认真听取陈豪、阮成发、罗珺等代表发言后，栗战书表示，赞成最高人民法院、最高人民检察院工作报告。党的十八大以来，以习近平同志为核心的党中央扎实推进</w:t>
      </w:r>
      <w:r>
        <w:rPr>
          <w:rFonts w:ascii="华文楷体" w:eastAsia="华文楷体" w:hAnsi="华文楷体" w:cs="华文楷体" w:hint="eastAsia"/>
          <w:color w:val="000000"/>
          <w:shd w:val="clear" w:color="auto" w:fill="FFFFFF"/>
        </w:rPr>
        <w:t>全面依法治国，开创了社会主义法治国家建设的新局面。要深入贯彻习近平新时代中国特色社会主义思想，把党的领导贯彻到依法治国全过程和各方面，把法治建设放在党和国家工作大局中来考虑、来谋划、来推进，为坚持和发展中国特色社会主义提供坚实的法治保障。希望云南深入贯彻落实习近平总书记对云南工作的重要指示要求，努力成为我国民族团结进步示范区，努力成为我国生态文明建设排头兵，努力成为我国面向南亚东南亚辐射中心，把七彩云南建设得更加美好。</w:t>
      </w:r>
    </w:p>
    <w:p w14:paraId="3C874757" w14:textId="77777777" w:rsidR="00ED5EBF" w:rsidRDefault="00ED5EBF">
      <w:pPr>
        <w:spacing w:line="360" w:lineRule="auto"/>
        <w:ind w:firstLineChars="200" w:firstLine="480"/>
        <w:rPr>
          <w:rFonts w:ascii="华文楷体" w:eastAsia="华文楷体" w:hAnsi="华文楷体" w:cs="华文楷体"/>
          <w:color w:val="000000"/>
          <w:shd w:val="clear" w:color="auto" w:fill="FFFFFF"/>
        </w:rPr>
      </w:pPr>
    </w:p>
    <w:p w14:paraId="2CC8B976" w14:textId="77777777" w:rsidR="00ED5EBF" w:rsidRDefault="002034C8">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赵乐际在西藏代表团参加审议。听取吴英杰、洛桑江村、齐扎拉等代表发言后，他说，党的作风关</w:t>
      </w:r>
      <w:r>
        <w:rPr>
          <w:rFonts w:ascii="华文楷体" w:eastAsia="华文楷体" w:hAnsi="华文楷体" w:cs="华文楷体" w:hint="eastAsia"/>
          <w:color w:val="000000"/>
          <w:shd w:val="clear" w:color="auto" w:fill="FFFFFF"/>
        </w:rPr>
        <w:t>系人心向背，关系党的生死存亡。要深入贯彻习近平新时代中国特色社会主义思想和党的十九大关于作风建设部署要求，坚持纠“四风”转作风不止步，稳扎稳打、久久为功，坚决反对特权思想特权现象，坚决整治形式主义官僚主义隐形变异问题，坚决纠正不作为慢作为乱作为问题，巩固拓展落实中央八项规定精神成果，决不能让作风问题反弹回潮。要扭住不放、寸步不让，一个问题一个问题解决，一个节点一个节点坚守，管出习惯、化风成俗。要广泛听取群众意见，有什么问题就解决什么问题，什么问题突出就整治什么问题，用</w:t>
      </w:r>
      <w:r>
        <w:rPr>
          <w:rFonts w:ascii="华文楷体" w:eastAsia="华文楷体" w:hAnsi="华文楷体" w:cs="华文楷体" w:hint="eastAsia"/>
          <w:color w:val="000000"/>
          <w:shd w:val="clear" w:color="auto" w:fill="FFFFFF"/>
        </w:rPr>
        <w:lastRenderedPageBreak/>
        <w:t>作风建设新成效凝聚决胜全面建成小康社会强</w:t>
      </w:r>
      <w:r>
        <w:rPr>
          <w:rFonts w:ascii="华文楷体" w:eastAsia="华文楷体" w:hAnsi="华文楷体" w:cs="华文楷体" w:hint="eastAsia"/>
          <w:color w:val="000000"/>
          <w:shd w:val="clear" w:color="auto" w:fill="FFFFFF"/>
        </w:rPr>
        <w:t>大正能量。</w:t>
      </w:r>
    </w:p>
    <w:p w14:paraId="2B7FAA14" w14:textId="77777777" w:rsidR="00ED5EBF" w:rsidRDefault="00ED5EBF">
      <w:pPr>
        <w:spacing w:line="360" w:lineRule="auto"/>
        <w:ind w:firstLineChars="200" w:firstLine="480"/>
        <w:rPr>
          <w:rFonts w:ascii="华文楷体" w:eastAsia="华文楷体" w:hAnsi="华文楷体" w:cs="华文楷体"/>
          <w:color w:val="000000"/>
          <w:shd w:val="clear" w:color="auto" w:fill="FFFFFF"/>
        </w:rPr>
      </w:pPr>
    </w:p>
    <w:p w14:paraId="5BAC7C4F" w14:textId="77777777" w:rsidR="00ED5EBF" w:rsidRDefault="002034C8">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陈敏尔、郭声琨等分别参加审议。（新华社北京</w:t>
      </w:r>
      <w:r>
        <w:rPr>
          <w:rFonts w:ascii="华文楷体" w:eastAsia="华文楷体" w:hAnsi="华文楷体" w:cs="华文楷体" w:hint="eastAsia"/>
          <w:color w:val="000000"/>
          <w:shd w:val="clear" w:color="auto" w:fill="FFFFFF"/>
        </w:rPr>
        <w:t>3</w:t>
      </w:r>
      <w:r>
        <w:rPr>
          <w:rFonts w:ascii="华文楷体" w:eastAsia="华文楷体" w:hAnsi="华文楷体" w:cs="华文楷体" w:hint="eastAsia"/>
          <w:color w:val="000000"/>
          <w:shd w:val="clear" w:color="auto" w:fill="FFFFFF"/>
        </w:rPr>
        <w:t>月</w:t>
      </w:r>
      <w:r>
        <w:rPr>
          <w:rFonts w:ascii="华文楷体" w:eastAsia="华文楷体" w:hAnsi="华文楷体" w:cs="华文楷体" w:hint="eastAsia"/>
          <w:color w:val="000000"/>
          <w:shd w:val="clear" w:color="auto" w:fill="FFFFFF"/>
        </w:rPr>
        <w:t>10</w:t>
      </w:r>
      <w:r>
        <w:rPr>
          <w:rFonts w:ascii="华文楷体" w:eastAsia="华文楷体" w:hAnsi="华文楷体" w:cs="华文楷体" w:hint="eastAsia"/>
          <w:color w:val="000000"/>
          <w:shd w:val="clear" w:color="auto" w:fill="FFFFFF"/>
        </w:rPr>
        <w:t>日电）</w:t>
      </w:r>
    </w:p>
    <w:p w14:paraId="0329C1A3" w14:textId="77777777" w:rsidR="00ED5EBF" w:rsidRDefault="00ED5EBF">
      <w:pPr>
        <w:spacing w:line="360" w:lineRule="auto"/>
        <w:ind w:firstLineChars="200" w:firstLine="480"/>
        <w:rPr>
          <w:rFonts w:ascii="华文楷体" w:eastAsia="华文楷体" w:hAnsi="华文楷体" w:cs="华文楷体"/>
          <w:color w:val="000000"/>
          <w:shd w:val="clear" w:color="auto" w:fill="FFFFFF"/>
        </w:rPr>
      </w:pPr>
    </w:p>
    <w:p w14:paraId="73F64302" w14:textId="77777777" w:rsidR="00ED5EBF" w:rsidRDefault="002034C8">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w:t>
      </w:r>
      <w:r>
        <w:rPr>
          <w:rFonts w:ascii="华文楷体" w:eastAsia="华文楷体" w:hAnsi="华文楷体" w:cs="华文楷体" w:hint="eastAsia"/>
          <w:color w:val="000000"/>
          <w:shd w:val="clear" w:color="auto" w:fill="FFFFFF"/>
        </w:rPr>
        <w:t xml:space="preserve"> </w:t>
      </w:r>
      <w:r>
        <w:rPr>
          <w:rFonts w:ascii="华文楷体" w:eastAsia="华文楷体" w:hAnsi="华文楷体" w:cs="华文楷体" w:hint="eastAsia"/>
          <w:color w:val="000000"/>
          <w:shd w:val="clear" w:color="auto" w:fill="FFFFFF"/>
        </w:rPr>
        <w:t>人民日报</w:t>
      </w:r>
      <w:r>
        <w:rPr>
          <w:rFonts w:ascii="华文楷体" w:eastAsia="华文楷体" w:hAnsi="华文楷体" w:cs="华文楷体" w:hint="eastAsia"/>
          <w:color w:val="000000"/>
          <w:shd w:val="clear" w:color="auto" w:fill="FFFFFF"/>
        </w:rPr>
        <w:t xml:space="preserve"> </w:t>
      </w:r>
      <w:r>
        <w:rPr>
          <w:rFonts w:ascii="华文楷体" w:eastAsia="华文楷体" w:hAnsi="华文楷体" w:cs="华文楷体" w:hint="eastAsia"/>
          <w:color w:val="000000"/>
          <w:shd w:val="clear" w:color="auto" w:fill="FFFFFF"/>
        </w:rPr>
        <w:t>》（</w:t>
      </w:r>
      <w:r>
        <w:rPr>
          <w:rFonts w:ascii="华文楷体" w:eastAsia="华文楷体" w:hAnsi="华文楷体" w:cs="华文楷体" w:hint="eastAsia"/>
          <w:color w:val="000000"/>
          <w:shd w:val="clear" w:color="auto" w:fill="FFFFFF"/>
        </w:rPr>
        <w:t xml:space="preserve"> 2018</w:t>
      </w:r>
      <w:r>
        <w:rPr>
          <w:rFonts w:ascii="华文楷体" w:eastAsia="华文楷体" w:hAnsi="华文楷体" w:cs="华文楷体" w:hint="eastAsia"/>
          <w:color w:val="000000"/>
          <w:shd w:val="clear" w:color="auto" w:fill="FFFFFF"/>
        </w:rPr>
        <w:t>年</w:t>
      </w:r>
      <w:r>
        <w:rPr>
          <w:rFonts w:ascii="华文楷体" w:eastAsia="华文楷体" w:hAnsi="华文楷体" w:cs="华文楷体" w:hint="eastAsia"/>
          <w:color w:val="000000"/>
          <w:shd w:val="clear" w:color="auto" w:fill="FFFFFF"/>
        </w:rPr>
        <w:t>03</w:t>
      </w:r>
      <w:r>
        <w:rPr>
          <w:rFonts w:ascii="华文楷体" w:eastAsia="华文楷体" w:hAnsi="华文楷体" w:cs="华文楷体" w:hint="eastAsia"/>
          <w:color w:val="000000"/>
          <w:shd w:val="clear" w:color="auto" w:fill="FFFFFF"/>
        </w:rPr>
        <w:t>月</w:t>
      </w:r>
      <w:r>
        <w:rPr>
          <w:rFonts w:ascii="华文楷体" w:eastAsia="华文楷体" w:hAnsi="华文楷体" w:cs="华文楷体" w:hint="eastAsia"/>
          <w:color w:val="000000"/>
          <w:shd w:val="clear" w:color="auto" w:fill="FFFFFF"/>
        </w:rPr>
        <w:t>11</w:t>
      </w:r>
      <w:r>
        <w:rPr>
          <w:rFonts w:ascii="华文楷体" w:eastAsia="华文楷体" w:hAnsi="华文楷体" w:cs="华文楷体" w:hint="eastAsia"/>
          <w:color w:val="000000"/>
          <w:shd w:val="clear" w:color="auto" w:fill="FFFFFF"/>
        </w:rPr>
        <w:t>日</w:t>
      </w:r>
      <w:r>
        <w:rPr>
          <w:rFonts w:ascii="华文楷体" w:eastAsia="华文楷体" w:hAnsi="华文楷体" w:cs="华文楷体" w:hint="eastAsia"/>
          <w:color w:val="000000"/>
          <w:shd w:val="clear" w:color="auto" w:fill="FFFFFF"/>
        </w:rPr>
        <w:t xml:space="preserve"> 01 </w:t>
      </w:r>
      <w:r>
        <w:rPr>
          <w:rFonts w:ascii="华文楷体" w:eastAsia="华文楷体" w:hAnsi="华文楷体" w:cs="华文楷体" w:hint="eastAsia"/>
          <w:color w:val="000000"/>
          <w:shd w:val="clear" w:color="auto" w:fill="FFFFFF"/>
        </w:rPr>
        <w:t>版）</w:t>
      </w:r>
    </w:p>
    <w:p w14:paraId="497597CB" w14:textId="77777777" w:rsidR="00ED5EBF" w:rsidRDefault="00ED5EBF">
      <w:pPr>
        <w:spacing w:line="360" w:lineRule="auto"/>
        <w:ind w:firstLineChars="200" w:firstLine="480"/>
        <w:rPr>
          <w:rFonts w:ascii="华文楷体" w:eastAsia="华文楷体" w:hAnsi="华文楷体" w:cs="华文楷体"/>
          <w:color w:val="000000"/>
          <w:shd w:val="clear" w:color="auto" w:fill="FFFFFF"/>
        </w:rPr>
      </w:pPr>
    </w:p>
    <w:p w14:paraId="3F4D1F16" w14:textId="77777777" w:rsidR="00ED5EBF" w:rsidRDefault="002034C8">
      <w:pPr>
        <w:spacing w:line="360" w:lineRule="auto"/>
        <w:ind w:firstLineChars="200" w:firstLine="480"/>
        <w:jc w:val="right"/>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w:t>
      </w:r>
      <w:r>
        <w:rPr>
          <w:rFonts w:ascii="华文楷体" w:eastAsia="华文楷体" w:hAnsi="华文楷体" w:cs="华文楷体" w:hint="eastAsia"/>
          <w:color w:val="000000"/>
          <w:shd w:val="clear" w:color="auto" w:fill="FFFFFF"/>
        </w:rPr>
        <w:t>责编：宋美琪、谢磊</w:t>
      </w:r>
      <w:r>
        <w:rPr>
          <w:rFonts w:ascii="华文楷体" w:eastAsia="华文楷体" w:hAnsi="华文楷体" w:cs="华文楷体" w:hint="eastAsia"/>
          <w:color w:val="000000"/>
          <w:shd w:val="clear" w:color="auto" w:fill="FFFFFF"/>
        </w:rPr>
        <w:t>)</w:t>
      </w:r>
    </w:p>
    <w:p w14:paraId="0CAE6EC1" w14:textId="77777777" w:rsidR="00ED5EBF" w:rsidRDefault="00ED5EBF">
      <w:pPr>
        <w:spacing w:line="360" w:lineRule="auto"/>
        <w:ind w:firstLineChars="200" w:firstLine="480"/>
        <w:jc w:val="right"/>
        <w:rPr>
          <w:rFonts w:ascii="华文楷体" w:eastAsia="华文楷体" w:hAnsi="华文楷体" w:cs="华文楷体"/>
          <w:color w:val="000000"/>
          <w:shd w:val="clear" w:color="auto" w:fill="FFFFFF"/>
        </w:rPr>
      </w:pPr>
    </w:p>
    <w:p w14:paraId="1ADB9AD6" w14:textId="77777777" w:rsidR="00ED5EBF" w:rsidRDefault="00ED5EBF">
      <w:pPr>
        <w:spacing w:line="360" w:lineRule="auto"/>
        <w:ind w:firstLineChars="200" w:firstLine="480"/>
        <w:jc w:val="right"/>
        <w:rPr>
          <w:rFonts w:ascii="华文楷体" w:eastAsia="华文楷体" w:hAnsi="华文楷体" w:cs="华文楷体"/>
          <w:color w:val="000000"/>
          <w:shd w:val="clear" w:color="auto" w:fill="FFFFFF"/>
        </w:rPr>
      </w:pPr>
    </w:p>
    <w:p w14:paraId="75CFCA79" w14:textId="77777777" w:rsidR="00ED5EBF" w:rsidRDefault="00ED5EBF">
      <w:pPr>
        <w:spacing w:line="360" w:lineRule="auto"/>
        <w:ind w:firstLineChars="200" w:firstLine="480"/>
        <w:jc w:val="right"/>
        <w:rPr>
          <w:rFonts w:ascii="华文楷体" w:eastAsia="华文楷体" w:hAnsi="华文楷体" w:cs="华文楷体"/>
          <w:color w:val="000000"/>
          <w:shd w:val="clear" w:color="auto" w:fill="FFFFFF"/>
        </w:rPr>
      </w:pPr>
    </w:p>
    <w:p w14:paraId="3F976FC7" w14:textId="77777777" w:rsidR="00ED5EBF" w:rsidRDefault="00ED5EBF">
      <w:pPr>
        <w:spacing w:line="360" w:lineRule="auto"/>
        <w:ind w:firstLineChars="200" w:firstLine="480"/>
        <w:jc w:val="right"/>
        <w:rPr>
          <w:rFonts w:ascii="华文楷体" w:eastAsia="华文楷体" w:hAnsi="华文楷体" w:cs="华文楷体"/>
          <w:color w:val="000000"/>
          <w:shd w:val="clear" w:color="auto" w:fill="FFFFFF"/>
        </w:rPr>
      </w:pPr>
    </w:p>
    <w:p w14:paraId="2FA80DD2" w14:textId="77777777" w:rsidR="00ED5EBF" w:rsidRDefault="00ED5EBF">
      <w:pPr>
        <w:spacing w:line="360" w:lineRule="auto"/>
        <w:ind w:firstLineChars="200" w:firstLine="480"/>
        <w:jc w:val="right"/>
        <w:rPr>
          <w:rFonts w:ascii="华文楷体" w:eastAsia="华文楷体" w:hAnsi="华文楷体" w:cs="华文楷体"/>
          <w:color w:val="000000"/>
          <w:shd w:val="clear" w:color="auto" w:fill="FFFFFF"/>
        </w:rPr>
      </w:pPr>
    </w:p>
    <w:p w14:paraId="5D26F3AD" w14:textId="77777777" w:rsidR="00ED5EBF" w:rsidRDefault="00ED5EBF">
      <w:pPr>
        <w:spacing w:line="360" w:lineRule="auto"/>
        <w:ind w:firstLineChars="200" w:firstLine="480"/>
        <w:jc w:val="right"/>
        <w:rPr>
          <w:rFonts w:ascii="华文楷体" w:eastAsia="华文楷体" w:hAnsi="华文楷体" w:cs="华文楷体"/>
          <w:color w:val="000000"/>
          <w:shd w:val="clear" w:color="auto" w:fill="FFFFFF"/>
        </w:rPr>
      </w:pPr>
    </w:p>
    <w:p w14:paraId="3A5F0B24" w14:textId="77777777" w:rsidR="00ED5EBF" w:rsidRDefault="00ED5EBF">
      <w:pPr>
        <w:spacing w:line="360" w:lineRule="auto"/>
        <w:ind w:firstLineChars="200" w:firstLine="480"/>
        <w:jc w:val="right"/>
        <w:rPr>
          <w:rFonts w:ascii="华文楷体" w:eastAsia="华文楷体" w:hAnsi="华文楷体" w:cs="华文楷体"/>
          <w:color w:val="000000"/>
          <w:shd w:val="clear" w:color="auto" w:fill="FFFFFF"/>
        </w:rPr>
      </w:pPr>
    </w:p>
    <w:p w14:paraId="6B3B2F01" w14:textId="77777777" w:rsidR="00ED5EBF" w:rsidRDefault="00ED5EBF">
      <w:pPr>
        <w:spacing w:line="360" w:lineRule="auto"/>
        <w:ind w:firstLineChars="200" w:firstLine="480"/>
        <w:jc w:val="right"/>
        <w:rPr>
          <w:rFonts w:ascii="华文楷体" w:eastAsia="华文楷体" w:hAnsi="华文楷体" w:cs="华文楷体"/>
          <w:color w:val="000000"/>
          <w:shd w:val="clear" w:color="auto" w:fill="FFFFFF"/>
        </w:rPr>
      </w:pPr>
    </w:p>
    <w:p w14:paraId="58872BC7" w14:textId="77777777" w:rsidR="00ED5EBF" w:rsidRDefault="00ED5EBF">
      <w:pPr>
        <w:spacing w:line="360" w:lineRule="auto"/>
        <w:ind w:firstLineChars="200" w:firstLine="480"/>
        <w:jc w:val="right"/>
        <w:rPr>
          <w:rFonts w:ascii="华文楷体" w:eastAsia="华文楷体" w:hAnsi="华文楷体" w:cs="华文楷体"/>
          <w:color w:val="000000"/>
          <w:shd w:val="clear" w:color="auto" w:fill="FFFFFF"/>
        </w:rPr>
      </w:pPr>
    </w:p>
    <w:p w14:paraId="54A75938" w14:textId="77777777" w:rsidR="00ED5EBF" w:rsidRDefault="00ED5EBF">
      <w:pPr>
        <w:spacing w:line="360" w:lineRule="auto"/>
        <w:ind w:firstLineChars="200" w:firstLine="480"/>
        <w:jc w:val="right"/>
        <w:rPr>
          <w:rFonts w:ascii="华文楷体" w:eastAsia="华文楷体" w:hAnsi="华文楷体" w:cs="华文楷体"/>
          <w:color w:val="000000"/>
          <w:shd w:val="clear" w:color="auto" w:fill="FFFFFF"/>
        </w:rPr>
      </w:pPr>
    </w:p>
    <w:p w14:paraId="331690B6" w14:textId="77777777" w:rsidR="00ED5EBF" w:rsidRDefault="00ED5EBF">
      <w:pPr>
        <w:spacing w:line="360" w:lineRule="auto"/>
        <w:ind w:firstLineChars="200" w:firstLine="480"/>
        <w:jc w:val="right"/>
        <w:rPr>
          <w:rFonts w:ascii="华文楷体" w:eastAsia="华文楷体" w:hAnsi="华文楷体" w:cs="华文楷体"/>
          <w:color w:val="000000"/>
          <w:shd w:val="clear" w:color="auto" w:fill="FFFFFF"/>
        </w:rPr>
      </w:pPr>
    </w:p>
    <w:p w14:paraId="03BA6805" w14:textId="77777777" w:rsidR="00ED5EBF" w:rsidRDefault="00ED5EBF">
      <w:pPr>
        <w:spacing w:line="360" w:lineRule="auto"/>
        <w:ind w:firstLineChars="200" w:firstLine="480"/>
        <w:jc w:val="right"/>
        <w:rPr>
          <w:rFonts w:ascii="华文楷体" w:eastAsia="华文楷体" w:hAnsi="华文楷体" w:cs="华文楷体"/>
          <w:color w:val="000000"/>
          <w:shd w:val="clear" w:color="auto" w:fill="FFFFFF"/>
        </w:rPr>
      </w:pPr>
    </w:p>
    <w:p w14:paraId="21352963" w14:textId="77777777" w:rsidR="00ED5EBF" w:rsidRDefault="00ED5EBF">
      <w:pPr>
        <w:spacing w:line="360" w:lineRule="auto"/>
        <w:ind w:firstLineChars="200" w:firstLine="480"/>
        <w:jc w:val="right"/>
        <w:rPr>
          <w:rFonts w:ascii="华文楷体" w:eastAsia="华文楷体" w:hAnsi="华文楷体" w:cs="华文楷体"/>
          <w:color w:val="000000"/>
          <w:shd w:val="clear" w:color="auto" w:fill="FFFFFF"/>
        </w:rPr>
      </w:pPr>
    </w:p>
    <w:p w14:paraId="0F817CD5" w14:textId="77777777" w:rsidR="00ED5EBF" w:rsidRDefault="00ED5EBF">
      <w:pPr>
        <w:spacing w:line="360" w:lineRule="auto"/>
        <w:ind w:firstLineChars="200" w:firstLine="480"/>
        <w:jc w:val="right"/>
        <w:rPr>
          <w:rFonts w:ascii="华文楷体" w:eastAsia="华文楷体" w:hAnsi="华文楷体" w:cs="华文楷体"/>
          <w:color w:val="000000"/>
          <w:shd w:val="clear" w:color="auto" w:fill="FFFFFF"/>
        </w:rPr>
      </w:pPr>
    </w:p>
    <w:p w14:paraId="759E9DE4" w14:textId="77777777" w:rsidR="00ED5EBF" w:rsidRDefault="00ED5EBF">
      <w:pPr>
        <w:spacing w:line="360" w:lineRule="auto"/>
        <w:ind w:firstLineChars="200" w:firstLine="480"/>
        <w:jc w:val="right"/>
        <w:rPr>
          <w:rFonts w:ascii="华文楷体" w:eastAsia="华文楷体" w:hAnsi="华文楷体" w:cs="华文楷体"/>
          <w:color w:val="000000"/>
          <w:shd w:val="clear" w:color="auto" w:fill="FFFFFF"/>
        </w:rPr>
      </w:pPr>
    </w:p>
    <w:p w14:paraId="611C1B9A" w14:textId="77777777" w:rsidR="00ED5EBF" w:rsidRDefault="002034C8">
      <w:pPr>
        <w:pStyle w:val="1"/>
        <w:widowControl/>
        <w:shd w:val="clear" w:color="auto" w:fill="FFFFFF"/>
        <w:spacing w:before="300" w:beforeAutospacing="0" w:after="225" w:afterAutospacing="0" w:line="480" w:lineRule="atLeast"/>
        <w:jc w:val="center"/>
        <w:rPr>
          <w:rFonts w:ascii="华文中宋" w:eastAsia="华文中宋" w:hAnsi="华文中宋" w:cs="华文中宋" w:hint="default"/>
          <w:color w:val="000000"/>
          <w:sz w:val="24"/>
          <w:szCs w:val="24"/>
        </w:rPr>
      </w:pPr>
      <w:bookmarkStart w:id="6" w:name="_Toc2445"/>
      <w:bookmarkStart w:id="7" w:name="第三次全体会议习近平李克强栗战书汪洋王沪宁赵乐际韩正等出"/>
      <w:r>
        <w:rPr>
          <w:rFonts w:ascii="华文中宋" w:eastAsia="华文中宋" w:hAnsi="华文中宋" w:cs="华文中宋"/>
          <w:color w:val="000000"/>
          <w:sz w:val="24"/>
          <w:szCs w:val="24"/>
          <w:shd w:val="clear" w:color="auto" w:fill="FFFFFF"/>
        </w:rPr>
        <w:lastRenderedPageBreak/>
        <w:t>十三届人大一次会议举行第三次全体会议</w:t>
      </w:r>
      <w:r>
        <w:rPr>
          <w:rFonts w:ascii="华文中宋" w:eastAsia="华文中宋" w:hAnsi="华文中宋" w:cs="华文中宋"/>
          <w:color w:val="000000"/>
          <w:sz w:val="24"/>
          <w:szCs w:val="24"/>
          <w:shd w:val="clear" w:color="auto" w:fill="FFFFFF"/>
        </w:rPr>
        <w:t> </w:t>
      </w:r>
      <w:r>
        <w:rPr>
          <w:rFonts w:ascii="华文中宋" w:eastAsia="华文中宋" w:hAnsi="华文中宋" w:cs="华文中宋"/>
          <w:color w:val="000000"/>
          <w:sz w:val="24"/>
          <w:szCs w:val="24"/>
          <w:shd w:val="clear" w:color="auto" w:fill="FFFFFF"/>
        </w:rPr>
        <w:t>习近平李克强栗战书汪洋王沪宁赵乐际韩正等出席</w:t>
      </w:r>
      <w:bookmarkEnd w:id="6"/>
    </w:p>
    <w:p w14:paraId="0E5BD2D1" w14:textId="77777777" w:rsidR="00ED5EBF" w:rsidRDefault="002034C8">
      <w:pPr>
        <w:pStyle w:val="2"/>
        <w:widowControl/>
        <w:shd w:val="clear" w:color="auto" w:fill="FFFFFF"/>
        <w:spacing w:beforeAutospacing="0" w:after="150" w:afterAutospacing="0"/>
        <w:jc w:val="center"/>
        <w:rPr>
          <w:rFonts w:ascii="华文楷体" w:eastAsia="华文楷体" w:hAnsi="华文楷体" w:cs="华文楷体" w:hint="default"/>
          <w:color w:val="000000"/>
          <w:sz w:val="24"/>
          <w:szCs w:val="24"/>
        </w:rPr>
      </w:pPr>
      <w:bookmarkStart w:id="8" w:name="_Toc27423"/>
      <w:bookmarkEnd w:id="7"/>
      <w:r>
        <w:rPr>
          <w:rFonts w:ascii="华文楷体" w:eastAsia="华文楷体" w:hAnsi="华文楷体" w:cs="华文楷体"/>
          <w:color w:val="000000"/>
          <w:sz w:val="24"/>
          <w:szCs w:val="24"/>
          <w:shd w:val="clear" w:color="auto" w:fill="FFFFFF"/>
        </w:rPr>
        <w:t>表决通过《中华人民共和国宪法修正案》</w:t>
      </w:r>
      <w:r>
        <w:rPr>
          <w:rFonts w:ascii="华文楷体" w:eastAsia="华文楷体" w:hAnsi="华文楷体" w:cs="华文楷体"/>
          <w:color w:val="000000"/>
          <w:sz w:val="24"/>
          <w:szCs w:val="24"/>
          <w:shd w:val="clear" w:color="auto" w:fill="FFFFFF"/>
        </w:rPr>
        <w:t> </w:t>
      </w:r>
      <w:r>
        <w:rPr>
          <w:rFonts w:ascii="华文楷体" w:eastAsia="华文楷体" w:hAnsi="华文楷体" w:cs="华文楷体"/>
          <w:color w:val="000000"/>
          <w:sz w:val="24"/>
          <w:szCs w:val="24"/>
          <w:shd w:val="clear" w:color="auto" w:fill="FFFFFF"/>
        </w:rPr>
        <w:t>张德江作全国人大常委会工作报告</w:t>
      </w:r>
      <w:bookmarkEnd w:id="8"/>
    </w:p>
    <w:p w14:paraId="73B356AB" w14:textId="77777777" w:rsidR="00ED5EBF" w:rsidRDefault="002034C8">
      <w:pPr>
        <w:pStyle w:val="a7"/>
        <w:widowControl/>
        <w:shd w:val="clear" w:color="auto" w:fill="FFFFFF"/>
        <w:spacing w:before="150" w:beforeAutospacing="0" w:afterAutospacing="0"/>
        <w:jc w:val="center"/>
        <w:rPr>
          <w:rFonts w:ascii="宋体" w:eastAsia="宋体" w:hAnsi="宋体" w:cs="宋体"/>
          <w:color w:val="000000"/>
          <w:sz w:val="20"/>
          <w:szCs w:val="20"/>
        </w:rPr>
      </w:pPr>
      <w:r>
        <w:rPr>
          <w:rFonts w:ascii="宋体" w:eastAsia="宋体" w:hAnsi="宋体" w:cs="宋体" w:hint="eastAsia"/>
          <w:color w:val="000000"/>
          <w:sz w:val="20"/>
          <w:szCs w:val="20"/>
          <w:shd w:val="clear" w:color="auto" w:fill="FFFFFF"/>
        </w:rPr>
        <w:t>2018</w:t>
      </w:r>
      <w:r>
        <w:rPr>
          <w:rFonts w:ascii="宋体" w:eastAsia="宋体" w:hAnsi="宋体" w:cs="宋体" w:hint="eastAsia"/>
          <w:color w:val="000000"/>
          <w:sz w:val="20"/>
          <w:szCs w:val="20"/>
          <w:shd w:val="clear" w:color="auto" w:fill="FFFFFF"/>
        </w:rPr>
        <w:t>年</w:t>
      </w:r>
      <w:r>
        <w:rPr>
          <w:rFonts w:ascii="宋体" w:eastAsia="宋体" w:hAnsi="宋体" w:cs="宋体" w:hint="eastAsia"/>
          <w:color w:val="000000"/>
          <w:sz w:val="20"/>
          <w:szCs w:val="20"/>
          <w:shd w:val="clear" w:color="auto" w:fill="FFFFFF"/>
        </w:rPr>
        <w:t>03</w:t>
      </w:r>
      <w:r>
        <w:rPr>
          <w:rFonts w:ascii="宋体" w:eastAsia="宋体" w:hAnsi="宋体" w:cs="宋体" w:hint="eastAsia"/>
          <w:color w:val="000000"/>
          <w:sz w:val="20"/>
          <w:szCs w:val="20"/>
          <w:shd w:val="clear" w:color="auto" w:fill="FFFFFF"/>
        </w:rPr>
        <w:t>月</w:t>
      </w:r>
      <w:r>
        <w:rPr>
          <w:rFonts w:ascii="宋体" w:eastAsia="宋体" w:hAnsi="宋体" w:cs="宋体" w:hint="eastAsia"/>
          <w:color w:val="000000"/>
          <w:sz w:val="20"/>
          <w:szCs w:val="20"/>
          <w:shd w:val="clear" w:color="auto" w:fill="FFFFFF"/>
        </w:rPr>
        <w:t>12</w:t>
      </w:r>
      <w:r>
        <w:rPr>
          <w:rFonts w:ascii="宋体" w:eastAsia="宋体" w:hAnsi="宋体" w:cs="宋体" w:hint="eastAsia"/>
          <w:color w:val="000000"/>
          <w:sz w:val="20"/>
          <w:szCs w:val="20"/>
          <w:shd w:val="clear" w:color="auto" w:fill="FFFFFF"/>
        </w:rPr>
        <w:t>日</w:t>
      </w:r>
      <w:r>
        <w:rPr>
          <w:rFonts w:ascii="宋体" w:eastAsia="宋体" w:hAnsi="宋体" w:cs="宋体" w:hint="eastAsia"/>
          <w:color w:val="000000"/>
          <w:sz w:val="20"/>
          <w:szCs w:val="20"/>
          <w:shd w:val="clear" w:color="auto" w:fill="FFFFFF"/>
        </w:rPr>
        <w:t>  </w:t>
      </w:r>
      <w:r>
        <w:rPr>
          <w:rFonts w:ascii="宋体" w:eastAsia="宋体" w:hAnsi="宋体" w:cs="宋体" w:hint="eastAsia"/>
          <w:color w:val="000000"/>
          <w:sz w:val="20"/>
          <w:szCs w:val="20"/>
          <w:shd w:val="clear" w:color="auto" w:fill="FFFFFF"/>
        </w:rPr>
        <w:t>来源：</w:t>
      </w:r>
      <w:hyperlink r:id="rId11" w:tgtFrame="http://cpc.people.com.cn/n1/2018/0312/_blank" w:history="1">
        <w:r>
          <w:rPr>
            <w:rStyle w:val="aa"/>
            <w:rFonts w:ascii="宋体" w:eastAsia="宋体" w:hAnsi="宋体" w:cs="宋体" w:hint="eastAsia"/>
            <w:color w:val="000000"/>
            <w:sz w:val="20"/>
            <w:szCs w:val="20"/>
            <w:shd w:val="clear" w:color="auto" w:fill="FFFFFF"/>
          </w:rPr>
          <w:t>人民网－人民日报</w:t>
        </w:r>
      </w:hyperlink>
    </w:p>
    <w:p w14:paraId="4210C78C" w14:textId="77777777" w:rsidR="00ED5EBF" w:rsidRDefault="002034C8">
      <w:pPr>
        <w:spacing w:line="360" w:lineRule="auto"/>
        <w:ind w:firstLineChars="200" w:firstLine="480"/>
        <w:jc w:val="center"/>
        <w:rPr>
          <w:rFonts w:ascii="宋体" w:eastAsia="宋体" w:hAnsi="宋体" w:cs="宋体"/>
        </w:rPr>
      </w:pPr>
      <w:r>
        <w:rPr>
          <w:rFonts w:ascii="宋体" w:eastAsia="宋体" w:hAnsi="宋体" w:cs="宋体"/>
          <w:noProof/>
        </w:rPr>
        <w:drawing>
          <wp:inline distT="0" distB="0" distL="114300" distR="114300" wp14:anchorId="52EE6567" wp14:editId="1EB4FE3B">
            <wp:extent cx="2286000" cy="2874645"/>
            <wp:effectExtent l="0" t="0" r="0" b="190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12"/>
                    <a:stretch>
                      <a:fillRect/>
                    </a:stretch>
                  </pic:blipFill>
                  <pic:spPr>
                    <a:xfrm>
                      <a:off x="0" y="0"/>
                      <a:ext cx="2286000" cy="2874645"/>
                    </a:xfrm>
                    <a:prstGeom prst="rect">
                      <a:avLst/>
                    </a:prstGeom>
                    <a:noFill/>
                    <a:ln w="9525">
                      <a:noFill/>
                    </a:ln>
                  </pic:spPr>
                </pic:pic>
              </a:graphicData>
            </a:graphic>
          </wp:inline>
        </w:drawing>
      </w:r>
    </w:p>
    <w:p w14:paraId="18C40F38"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11</w:t>
      </w:r>
      <w:r>
        <w:rPr>
          <w:rFonts w:ascii="华文楷体" w:eastAsia="华文楷体" w:hAnsi="华文楷体" w:cs="华文楷体" w:hint="eastAsia"/>
        </w:rPr>
        <w:t>日，十三届全国人大一次会议在北京人民大会堂举行第三次全体会议。受十二届全国人大常委会委托，张德江向大会作全国人大常委会工作报告。</w:t>
      </w:r>
    </w:p>
    <w:p w14:paraId="34888427" w14:textId="77777777" w:rsidR="00ED5EBF" w:rsidRDefault="002034C8">
      <w:pPr>
        <w:spacing w:line="360" w:lineRule="auto"/>
        <w:ind w:firstLineChars="200" w:firstLine="480"/>
        <w:jc w:val="center"/>
        <w:rPr>
          <w:rFonts w:ascii="华文楷体" w:eastAsia="华文楷体" w:hAnsi="华文楷体" w:cs="华文楷体"/>
        </w:rPr>
      </w:pPr>
      <w:r>
        <w:rPr>
          <w:rFonts w:ascii="华文楷体" w:eastAsia="华文楷体" w:hAnsi="华文楷体" w:cs="华文楷体" w:hint="eastAsia"/>
        </w:rPr>
        <w:t>本报记者</w:t>
      </w:r>
      <w:r>
        <w:rPr>
          <w:rFonts w:ascii="华文楷体" w:eastAsia="华文楷体" w:hAnsi="华文楷体" w:cs="华文楷体" w:hint="eastAsia"/>
        </w:rPr>
        <w:t xml:space="preserve"> </w:t>
      </w:r>
      <w:r>
        <w:rPr>
          <w:rFonts w:ascii="华文楷体" w:eastAsia="华文楷体" w:hAnsi="华文楷体" w:cs="华文楷体" w:hint="eastAsia"/>
        </w:rPr>
        <w:t>李</w:t>
      </w:r>
      <w:r>
        <w:rPr>
          <w:rFonts w:ascii="华文楷体" w:eastAsia="华文楷体" w:hAnsi="华文楷体" w:cs="华文楷体" w:hint="eastAsia"/>
        </w:rPr>
        <w:t xml:space="preserve"> </w:t>
      </w:r>
      <w:r>
        <w:rPr>
          <w:rFonts w:ascii="华文楷体" w:eastAsia="华文楷体" w:hAnsi="华文楷体" w:cs="华文楷体" w:hint="eastAsia"/>
        </w:rPr>
        <w:t>舸摄</w:t>
      </w:r>
    </w:p>
    <w:p w14:paraId="74429778" w14:textId="77777777" w:rsidR="00ED5EBF" w:rsidRDefault="00ED5EBF">
      <w:pPr>
        <w:spacing w:line="360" w:lineRule="auto"/>
        <w:ind w:firstLineChars="200" w:firstLine="480"/>
        <w:rPr>
          <w:rFonts w:ascii="华文楷体" w:eastAsia="华文楷体" w:hAnsi="华文楷体" w:cs="华文楷体"/>
        </w:rPr>
      </w:pPr>
    </w:p>
    <w:p w14:paraId="39B9C57D"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十三届全国人大一次会议</w:t>
      </w:r>
      <w:r>
        <w:rPr>
          <w:rFonts w:ascii="华文楷体" w:eastAsia="华文楷体" w:hAnsi="华文楷体" w:cs="华文楷体" w:hint="eastAsia"/>
        </w:rPr>
        <w:t>11</w:t>
      </w:r>
      <w:r>
        <w:rPr>
          <w:rFonts w:ascii="华文楷体" w:eastAsia="华文楷体" w:hAnsi="华文楷体" w:cs="华文楷体" w:hint="eastAsia"/>
        </w:rPr>
        <w:t>日下午在人民大会堂举行第三次全体会议，表决通过了《中华人民共和国宪法修正案》，听取了张德江委员长受十二届全国人大常委会委托作的全国人大常委会工作报告。</w:t>
      </w:r>
    </w:p>
    <w:p w14:paraId="26DA1FA8" w14:textId="77777777" w:rsidR="00ED5EBF" w:rsidRDefault="00ED5EBF">
      <w:pPr>
        <w:spacing w:line="360" w:lineRule="auto"/>
        <w:ind w:firstLineChars="200" w:firstLine="480"/>
        <w:rPr>
          <w:rFonts w:ascii="华文楷体" w:eastAsia="华文楷体" w:hAnsi="华文楷体" w:cs="华文楷体"/>
        </w:rPr>
      </w:pPr>
    </w:p>
    <w:p w14:paraId="18FD424E"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习近平、李克强、栗战书、汪洋、王沪宁、赵乐际、韩正等出席会议。</w:t>
      </w:r>
    </w:p>
    <w:p w14:paraId="46E56EBF" w14:textId="77777777" w:rsidR="00ED5EBF" w:rsidRDefault="00ED5EBF">
      <w:pPr>
        <w:spacing w:line="360" w:lineRule="auto"/>
        <w:ind w:firstLineChars="200" w:firstLine="480"/>
        <w:rPr>
          <w:rFonts w:ascii="华文楷体" w:eastAsia="华文楷体" w:hAnsi="华文楷体" w:cs="华文楷体"/>
        </w:rPr>
      </w:pPr>
    </w:p>
    <w:p w14:paraId="6AD66901"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会议应出席代表</w:t>
      </w:r>
      <w:r>
        <w:rPr>
          <w:rFonts w:ascii="华文楷体" w:eastAsia="华文楷体" w:hAnsi="华文楷体" w:cs="华文楷体" w:hint="eastAsia"/>
        </w:rPr>
        <w:t>2980</w:t>
      </w:r>
      <w:r>
        <w:rPr>
          <w:rFonts w:ascii="华文楷体" w:eastAsia="华文楷体" w:hAnsi="华文楷体" w:cs="华文楷体" w:hint="eastAsia"/>
        </w:rPr>
        <w:t>人，出席</w:t>
      </w:r>
      <w:r>
        <w:rPr>
          <w:rFonts w:ascii="华文楷体" w:eastAsia="华文楷体" w:hAnsi="华文楷体" w:cs="华文楷体" w:hint="eastAsia"/>
        </w:rPr>
        <w:t>2964</w:t>
      </w:r>
      <w:r>
        <w:rPr>
          <w:rFonts w:ascii="华文楷体" w:eastAsia="华文楷体" w:hAnsi="华文楷体" w:cs="华文楷体" w:hint="eastAsia"/>
        </w:rPr>
        <w:t>人，缺席</w:t>
      </w:r>
      <w:r>
        <w:rPr>
          <w:rFonts w:ascii="华文楷体" w:eastAsia="华文楷体" w:hAnsi="华文楷体" w:cs="华文楷体" w:hint="eastAsia"/>
        </w:rPr>
        <w:t>16</w:t>
      </w:r>
      <w:r>
        <w:rPr>
          <w:rFonts w:ascii="华文楷体" w:eastAsia="华文楷体" w:hAnsi="华文楷体" w:cs="华文楷体" w:hint="eastAsia"/>
        </w:rPr>
        <w:t>人，出席人数符合法定人</w:t>
      </w:r>
      <w:r>
        <w:rPr>
          <w:rFonts w:ascii="华文楷体" w:eastAsia="华文楷体" w:hAnsi="华文楷体" w:cs="华文楷体" w:hint="eastAsia"/>
        </w:rPr>
        <w:lastRenderedPageBreak/>
        <w:t>数。</w:t>
      </w:r>
    </w:p>
    <w:p w14:paraId="3E87407A" w14:textId="77777777" w:rsidR="00ED5EBF" w:rsidRDefault="00ED5EBF">
      <w:pPr>
        <w:spacing w:line="360" w:lineRule="auto"/>
        <w:ind w:firstLineChars="200" w:firstLine="480"/>
        <w:rPr>
          <w:rFonts w:ascii="华文楷体" w:eastAsia="华文楷体" w:hAnsi="华文楷体" w:cs="华文楷体"/>
        </w:rPr>
      </w:pPr>
    </w:p>
    <w:p w14:paraId="65C15E90"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大会主席团常务主席、执行主席王晨主持会议。</w:t>
      </w:r>
    </w:p>
    <w:p w14:paraId="465596C6" w14:textId="77777777" w:rsidR="00ED5EBF" w:rsidRDefault="00ED5EBF">
      <w:pPr>
        <w:spacing w:line="360" w:lineRule="auto"/>
        <w:ind w:firstLineChars="200" w:firstLine="480"/>
        <w:rPr>
          <w:rFonts w:ascii="华文楷体" w:eastAsia="华文楷体" w:hAnsi="华文楷体" w:cs="华文楷体"/>
        </w:rPr>
      </w:pPr>
    </w:p>
    <w:p w14:paraId="5C860950"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与会代表经过表决，首先通过了由</w:t>
      </w:r>
      <w:r>
        <w:rPr>
          <w:rFonts w:ascii="华文楷体" w:eastAsia="华文楷体" w:hAnsi="华文楷体" w:cs="华文楷体" w:hint="eastAsia"/>
        </w:rPr>
        <w:t>35</w:t>
      </w:r>
      <w:r>
        <w:rPr>
          <w:rFonts w:ascii="华文楷体" w:eastAsia="华文楷体" w:hAnsi="华文楷体" w:cs="华文楷体" w:hint="eastAsia"/>
        </w:rPr>
        <w:t>名代表组成的总监票人、监票人名单。王少峰、杨艳为总监票人。</w:t>
      </w:r>
    </w:p>
    <w:p w14:paraId="1D2024AC" w14:textId="77777777" w:rsidR="00ED5EBF" w:rsidRDefault="00ED5EBF">
      <w:pPr>
        <w:spacing w:line="360" w:lineRule="auto"/>
        <w:ind w:firstLineChars="200" w:firstLine="480"/>
        <w:rPr>
          <w:rFonts w:ascii="华文楷体" w:eastAsia="华文楷体" w:hAnsi="华文楷体" w:cs="华文楷体"/>
        </w:rPr>
      </w:pPr>
    </w:p>
    <w:p w14:paraId="752B8F75"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根据十三届全国人大一次会议表决议案办法的规定</w:t>
      </w:r>
      <w:r>
        <w:rPr>
          <w:rFonts w:ascii="华文楷体" w:eastAsia="华文楷体" w:hAnsi="华文楷体" w:cs="华文楷体" w:hint="eastAsia"/>
        </w:rPr>
        <w:t>，表决宪法修正案草案，采用无记名投票方式，以全体代表的三分之二以上赞成票通过。经过约</w:t>
      </w:r>
      <w:r>
        <w:rPr>
          <w:rFonts w:ascii="华文楷体" w:eastAsia="华文楷体" w:hAnsi="华文楷体" w:cs="华文楷体" w:hint="eastAsia"/>
        </w:rPr>
        <w:t>40</w:t>
      </w:r>
      <w:r>
        <w:rPr>
          <w:rFonts w:ascii="华文楷体" w:eastAsia="华文楷体" w:hAnsi="华文楷体" w:cs="华文楷体" w:hint="eastAsia"/>
        </w:rPr>
        <w:t>分钟的发票、写票、投票、计票，</w:t>
      </w:r>
      <w:r>
        <w:rPr>
          <w:rFonts w:ascii="华文楷体" w:eastAsia="华文楷体" w:hAnsi="华文楷体" w:cs="华文楷体" w:hint="eastAsia"/>
        </w:rPr>
        <w:t>15</w:t>
      </w:r>
      <w:r>
        <w:rPr>
          <w:rFonts w:ascii="华文楷体" w:eastAsia="华文楷体" w:hAnsi="华文楷体" w:cs="华文楷体" w:hint="eastAsia"/>
        </w:rPr>
        <w:t>时</w:t>
      </w:r>
      <w:r>
        <w:rPr>
          <w:rFonts w:ascii="华文楷体" w:eastAsia="华文楷体" w:hAnsi="华文楷体" w:cs="华文楷体" w:hint="eastAsia"/>
        </w:rPr>
        <w:t>51</w:t>
      </w:r>
      <w:r>
        <w:rPr>
          <w:rFonts w:ascii="华文楷体" w:eastAsia="华文楷体" w:hAnsi="华文楷体" w:cs="华文楷体" w:hint="eastAsia"/>
        </w:rPr>
        <w:t>分，工作人员宣读计票结果：赞成</w:t>
      </w:r>
      <w:r>
        <w:rPr>
          <w:rFonts w:ascii="华文楷体" w:eastAsia="华文楷体" w:hAnsi="华文楷体" w:cs="华文楷体" w:hint="eastAsia"/>
        </w:rPr>
        <w:t>2958</w:t>
      </w:r>
      <w:r>
        <w:rPr>
          <w:rFonts w:ascii="华文楷体" w:eastAsia="华文楷体" w:hAnsi="华文楷体" w:cs="华文楷体" w:hint="eastAsia"/>
        </w:rPr>
        <w:t>票，反对</w:t>
      </w:r>
      <w:r>
        <w:rPr>
          <w:rFonts w:ascii="华文楷体" w:eastAsia="华文楷体" w:hAnsi="华文楷体" w:cs="华文楷体" w:hint="eastAsia"/>
        </w:rPr>
        <w:t>2</w:t>
      </w:r>
      <w:r>
        <w:rPr>
          <w:rFonts w:ascii="华文楷体" w:eastAsia="华文楷体" w:hAnsi="华文楷体" w:cs="华文楷体" w:hint="eastAsia"/>
        </w:rPr>
        <w:t>票，弃权</w:t>
      </w:r>
      <w:r>
        <w:rPr>
          <w:rFonts w:ascii="华文楷体" w:eastAsia="华文楷体" w:hAnsi="华文楷体" w:cs="华文楷体" w:hint="eastAsia"/>
        </w:rPr>
        <w:t>3</w:t>
      </w:r>
      <w:r>
        <w:rPr>
          <w:rFonts w:ascii="华文楷体" w:eastAsia="华文楷体" w:hAnsi="华文楷体" w:cs="华文楷体" w:hint="eastAsia"/>
        </w:rPr>
        <w:t>票。</w:t>
      </w:r>
    </w:p>
    <w:p w14:paraId="232B6574" w14:textId="77777777" w:rsidR="00ED5EBF" w:rsidRDefault="00ED5EBF">
      <w:pPr>
        <w:spacing w:line="360" w:lineRule="auto"/>
        <w:ind w:firstLineChars="200" w:firstLine="480"/>
        <w:rPr>
          <w:rFonts w:ascii="华文楷体" w:eastAsia="华文楷体" w:hAnsi="华文楷体" w:cs="华文楷体"/>
        </w:rPr>
      </w:pPr>
    </w:p>
    <w:p w14:paraId="52DFE6FC"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王晨宣布：《中华人民共和国宪法修正案》通过。会场顿时响起热烈的掌声。</w:t>
      </w:r>
    </w:p>
    <w:p w14:paraId="72AD3533" w14:textId="77777777" w:rsidR="00ED5EBF" w:rsidRDefault="00ED5EBF">
      <w:pPr>
        <w:spacing w:line="360" w:lineRule="auto"/>
        <w:ind w:firstLineChars="200" w:firstLine="480"/>
        <w:rPr>
          <w:rFonts w:ascii="华文楷体" w:eastAsia="华文楷体" w:hAnsi="华文楷体" w:cs="华文楷体"/>
        </w:rPr>
      </w:pPr>
    </w:p>
    <w:p w14:paraId="79DED5B1"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十三届全国人大一次会议主席团</w:t>
      </w:r>
      <w:r>
        <w:rPr>
          <w:rFonts w:ascii="华文楷体" w:eastAsia="华文楷体" w:hAnsi="华文楷体" w:cs="华文楷体" w:hint="eastAsia"/>
        </w:rPr>
        <w:t>11</w:t>
      </w:r>
      <w:r>
        <w:rPr>
          <w:rFonts w:ascii="华文楷体" w:eastAsia="华文楷体" w:hAnsi="华文楷体" w:cs="华文楷体" w:hint="eastAsia"/>
        </w:rPr>
        <w:t>日发布公告，宪法修正案予以公布施行。</w:t>
      </w:r>
    </w:p>
    <w:p w14:paraId="74B8E45A" w14:textId="77777777" w:rsidR="00ED5EBF" w:rsidRDefault="00ED5EBF">
      <w:pPr>
        <w:spacing w:line="360" w:lineRule="auto"/>
        <w:ind w:firstLineChars="200" w:firstLine="480"/>
        <w:rPr>
          <w:rFonts w:ascii="华文楷体" w:eastAsia="华文楷体" w:hAnsi="华文楷体" w:cs="华文楷体"/>
        </w:rPr>
      </w:pPr>
    </w:p>
    <w:p w14:paraId="741D570A"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受十二届全国人大常委会委托，张德江向大会作全国人大常委会工作报告。他说，过去的五年，是我们党和国家发展进程中极不平凡的五年。在以习近平同志为核心的党中央坚强领导下，十二届全国</w:t>
      </w:r>
      <w:r>
        <w:rPr>
          <w:rFonts w:ascii="华文楷体" w:eastAsia="华文楷体" w:hAnsi="华文楷体" w:cs="华文楷体" w:hint="eastAsia"/>
        </w:rPr>
        <w:t>人大常委会全面贯彻落实党的十八大和十九大精神，深入学习贯彻习近平新时代中国特色社会主义思想，坚定坚持党的领导、人民当家作主、依法治国有机统一，坚决维护习近平总书记权威和核心地位，坚决维护以习近平同志为核心的党中央权威和集中统一领导，认真履行宪</w:t>
      </w:r>
      <w:r>
        <w:rPr>
          <w:rFonts w:ascii="华文楷体" w:eastAsia="华文楷体" w:hAnsi="华文楷体" w:cs="华文楷体" w:hint="eastAsia"/>
        </w:rPr>
        <w:lastRenderedPageBreak/>
        <w:t>法法律赋予的职责，全面开创人大工作新局面，人民代表大会制度理论和实践创新取得重大成就，社会主义民主法治建设迈出重大步伐。</w:t>
      </w:r>
    </w:p>
    <w:p w14:paraId="24A10EB3" w14:textId="77777777" w:rsidR="00ED5EBF" w:rsidRDefault="00ED5EBF">
      <w:pPr>
        <w:spacing w:line="360" w:lineRule="auto"/>
        <w:ind w:firstLineChars="200" w:firstLine="480"/>
        <w:rPr>
          <w:rFonts w:ascii="华文楷体" w:eastAsia="华文楷体" w:hAnsi="华文楷体" w:cs="华文楷体"/>
        </w:rPr>
      </w:pPr>
    </w:p>
    <w:p w14:paraId="51BDAA70"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张德江从</w:t>
      </w:r>
      <w:r>
        <w:rPr>
          <w:rFonts w:ascii="华文楷体" w:eastAsia="华文楷体" w:hAnsi="华文楷体" w:cs="华文楷体" w:hint="eastAsia"/>
        </w:rPr>
        <w:t>7</w:t>
      </w:r>
      <w:r>
        <w:rPr>
          <w:rFonts w:ascii="华文楷体" w:eastAsia="华文楷体" w:hAnsi="华文楷体" w:cs="华文楷体" w:hint="eastAsia"/>
        </w:rPr>
        <w:t>个方面回顾了过去五年的主要工作。一是着力加强重点领域立法，完善以宪法为核心的中国特色社会主义法律体系。二是着力发挥立法引领和推动作用，确</w:t>
      </w:r>
      <w:r>
        <w:rPr>
          <w:rFonts w:ascii="华文楷体" w:eastAsia="华文楷体" w:hAnsi="华文楷体" w:cs="华文楷体" w:hint="eastAsia"/>
        </w:rPr>
        <w:t>保重大改革于法有据、顺利实施。三是着力完善监督工作机制，加强对宪法法律实施和“一府两院”工作的监督。四是着力深化和拓展代表工作，充分发挥代表作用。五是着力推动人大制度完善发展，夯实国家政权建设和党长期执政基础。六是着力加强人大对外交往，服务中国特色大国外交。七是着力推进全国人大及其常委会党的建设，不断提高依法履职能力和水平。</w:t>
      </w:r>
    </w:p>
    <w:p w14:paraId="74407A7A" w14:textId="77777777" w:rsidR="00ED5EBF" w:rsidRDefault="00ED5EBF">
      <w:pPr>
        <w:spacing w:line="360" w:lineRule="auto"/>
        <w:ind w:firstLineChars="200" w:firstLine="480"/>
        <w:rPr>
          <w:rFonts w:ascii="华文楷体" w:eastAsia="华文楷体" w:hAnsi="华文楷体" w:cs="华文楷体"/>
        </w:rPr>
      </w:pPr>
    </w:p>
    <w:p w14:paraId="68A79AD2"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张德江指出，十二届全国人大及其常委会取得的成绩，根本在于以习近平同志为核心的党中央坚强领导，根本在于习近平新时代中国特色社会主义思想科学指引，是全国人大代表、常委会组成人员、各专门委</w:t>
      </w:r>
      <w:r>
        <w:rPr>
          <w:rFonts w:ascii="华文楷体" w:eastAsia="华文楷体" w:hAnsi="华文楷体" w:cs="华文楷体" w:hint="eastAsia"/>
        </w:rPr>
        <w:t>员会组成人员和全国人大机关工作人员扎实工作的结果，是国务院、最高人民法院、最高人民检察院和地方各级人大密切配合的结果，是全国各族人民充分信任和大力支持的结果。</w:t>
      </w:r>
    </w:p>
    <w:p w14:paraId="00EB57EA" w14:textId="77777777" w:rsidR="00ED5EBF" w:rsidRDefault="00ED5EBF">
      <w:pPr>
        <w:spacing w:line="360" w:lineRule="auto"/>
        <w:ind w:firstLineChars="200" w:firstLine="480"/>
        <w:rPr>
          <w:rFonts w:ascii="华文楷体" w:eastAsia="华文楷体" w:hAnsi="华文楷体" w:cs="华文楷体"/>
        </w:rPr>
      </w:pPr>
    </w:p>
    <w:p w14:paraId="5F985584"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张德江从</w:t>
      </w:r>
      <w:r>
        <w:rPr>
          <w:rFonts w:ascii="华文楷体" w:eastAsia="华文楷体" w:hAnsi="华文楷体" w:cs="华文楷体" w:hint="eastAsia"/>
        </w:rPr>
        <w:t>5</w:t>
      </w:r>
      <w:r>
        <w:rPr>
          <w:rFonts w:ascii="华文楷体" w:eastAsia="华文楷体" w:hAnsi="华文楷体" w:cs="华文楷体" w:hint="eastAsia"/>
        </w:rPr>
        <w:t>个方面总结了五年工作的主要体会。一是中国共产党领导是人民代表大会制度的本质要求和最大优势，必须坚定坚持以习近平同志为核心的党中央集中统一领导。二是党的指导思想是坚持和完善人民代表大会制度的科学指引和行动指南，必须全面贯彻习近平新时代中国特色社会主义思想。三是人民代表大会制度是中国人民当家作主的重要途径和最高实现形式，必须切实把人民当家</w:t>
      </w:r>
      <w:r>
        <w:rPr>
          <w:rFonts w:ascii="华文楷体" w:eastAsia="华文楷体" w:hAnsi="华文楷体" w:cs="华文楷体" w:hint="eastAsia"/>
        </w:rPr>
        <w:lastRenderedPageBreak/>
        <w:t>作主</w:t>
      </w:r>
      <w:r>
        <w:rPr>
          <w:rFonts w:ascii="华文楷体" w:eastAsia="华文楷体" w:hAnsi="华文楷体" w:cs="华文楷体" w:hint="eastAsia"/>
        </w:rPr>
        <w:t>落实到国家政治生活和社会生活之中。四是全面依法治国是中国特色社会主义的本质要求和重要保障，必须充分发挥人大及其常委会在全面推进依法治国中的重要作用。五是人民代表大会制度是中国特色社会主义制度的重要组成部分，必须毫不动摇坚持、与时俱进完善人民代表大会制度。</w:t>
      </w:r>
    </w:p>
    <w:p w14:paraId="72159AEB" w14:textId="77777777" w:rsidR="00ED5EBF" w:rsidRDefault="00ED5EBF">
      <w:pPr>
        <w:spacing w:line="360" w:lineRule="auto"/>
        <w:ind w:firstLineChars="200" w:firstLine="480"/>
        <w:rPr>
          <w:rFonts w:ascii="华文楷体" w:eastAsia="华文楷体" w:hAnsi="华文楷体" w:cs="华文楷体"/>
        </w:rPr>
      </w:pPr>
    </w:p>
    <w:p w14:paraId="41E5193D"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张德江指出，</w:t>
      </w:r>
      <w:r>
        <w:rPr>
          <w:rFonts w:ascii="华文楷体" w:eastAsia="华文楷体" w:hAnsi="华文楷体" w:cs="华文楷体" w:hint="eastAsia"/>
        </w:rPr>
        <w:t>2018</w:t>
      </w:r>
      <w:r>
        <w:rPr>
          <w:rFonts w:ascii="华文楷体" w:eastAsia="华文楷体" w:hAnsi="华文楷体" w:cs="华文楷体" w:hint="eastAsia"/>
        </w:rPr>
        <w:t>年是全面贯彻落实党的十九大精神的开局之年，也是十三届全国人大及其常委会依法履职的第一年。十二届全国人大常委会委员长会议原则通过了</w:t>
      </w:r>
      <w:r>
        <w:rPr>
          <w:rFonts w:ascii="华文楷体" w:eastAsia="华文楷体" w:hAnsi="华文楷体" w:cs="华文楷体" w:hint="eastAsia"/>
        </w:rPr>
        <w:t>2018</w:t>
      </w:r>
      <w:r>
        <w:rPr>
          <w:rFonts w:ascii="华文楷体" w:eastAsia="华文楷体" w:hAnsi="华文楷体" w:cs="华文楷体" w:hint="eastAsia"/>
        </w:rPr>
        <w:t>年常委会工作要点和立法、监督工作计划，对今后一年的工作作出初步安排。一是继续加强立法工作。二是继续</w:t>
      </w:r>
      <w:r>
        <w:rPr>
          <w:rFonts w:ascii="华文楷体" w:eastAsia="华文楷体" w:hAnsi="华文楷体" w:cs="华文楷体" w:hint="eastAsia"/>
        </w:rPr>
        <w:t>加强监督工作。三是继续加强代表工作。</w:t>
      </w:r>
    </w:p>
    <w:p w14:paraId="0D061A58" w14:textId="77777777" w:rsidR="00ED5EBF" w:rsidRDefault="00ED5EBF">
      <w:pPr>
        <w:spacing w:line="360" w:lineRule="auto"/>
        <w:ind w:firstLineChars="200" w:firstLine="480"/>
        <w:rPr>
          <w:rFonts w:ascii="华文楷体" w:eastAsia="华文楷体" w:hAnsi="华文楷体" w:cs="华文楷体"/>
        </w:rPr>
      </w:pPr>
    </w:p>
    <w:p w14:paraId="3E2D6C00"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张德江说，我们相信，在以习近平同志为核心的党中央坚强领导下，在习近平新时代中国特色社会主义思想科学指引下，在全国各族人民大力支持下，新一届全国人大及其常委会一定能够不辱使命、不负重托，谱写新时代人大工作新篇章。</w:t>
      </w:r>
    </w:p>
    <w:p w14:paraId="6F950128" w14:textId="77777777" w:rsidR="00ED5EBF" w:rsidRDefault="00ED5EBF">
      <w:pPr>
        <w:spacing w:line="360" w:lineRule="auto"/>
        <w:ind w:firstLineChars="200" w:firstLine="480"/>
        <w:rPr>
          <w:rFonts w:ascii="华文楷体" w:eastAsia="华文楷体" w:hAnsi="华文楷体" w:cs="华文楷体"/>
        </w:rPr>
      </w:pPr>
    </w:p>
    <w:p w14:paraId="425A4E79"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大会执行主席刘家义、刘赐贵、张庆伟、胡和平、段春华、贺一诚在主席台执行主席席就座。（新华社北京</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11</w:t>
      </w:r>
      <w:r>
        <w:rPr>
          <w:rFonts w:ascii="华文楷体" w:eastAsia="华文楷体" w:hAnsi="华文楷体" w:cs="华文楷体" w:hint="eastAsia"/>
        </w:rPr>
        <w:t>日电）</w:t>
      </w:r>
    </w:p>
    <w:p w14:paraId="1D814403" w14:textId="77777777" w:rsidR="00ED5EBF" w:rsidRDefault="00ED5EBF">
      <w:pPr>
        <w:spacing w:line="360" w:lineRule="auto"/>
        <w:ind w:firstLineChars="200" w:firstLine="480"/>
        <w:rPr>
          <w:rFonts w:ascii="华文楷体" w:eastAsia="华文楷体" w:hAnsi="华文楷体" w:cs="华文楷体"/>
        </w:rPr>
      </w:pPr>
    </w:p>
    <w:p w14:paraId="031AE895"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w:t>
      </w:r>
      <w:r>
        <w:rPr>
          <w:rFonts w:ascii="华文楷体" w:eastAsia="华文楷体" w:hAnsi="华文楷体" w:cs="华文楷体" w:hint="eastAsia"/>
        </w:rPr>
        <w:t xml:space="preserve"> </w:t>
      </w:r>
      <w:r>
        <w:rPr>
          <w:rFonts w:ascii="华文楷体" w:eastAsia="华文楷体" w:hAnsi="华文楷体" w:cs="华文楷体" w:hint="eastAsia"/>
        </w:rPr>
        <w:t>人民日报</w:t>
      </w:r>
      <w:r>
        <w:rPr>
          <w:rFonts w:ascii="华文楷体" w:eastAsia="华文楷体" w:hAnsi="华文楷体" w:cs="华文楷体" w:hint="eastAsia"/>
        </w:rPr>
        <w:t xml:space="preserve"> </w:t>
      </w:r>
      <w:r>
        <w:rPr>
          <w:rFonts w:ascii="华文楷体" w:eastAsia="华文楷体" w:hAnsi="华文楷体" w:cs="华文楷体" w:hint="eastAsia"/>
        </w:rPr>
        <w:t>》（</w:t>
      </w:r>
      <w:r>
        <w:rPr>
          <w:rFonts w:ascii="华文楷体" w:eastAsia="华文楷体" w:hAnsi="华文楷体" w:cs="华文楷体" w:hint="eastAsia"/>
        </w:rPr>
        <w:t xml:space="preserve"> 2018</w:t>
      </w:r>
      <w:r>
        <w:rPr>
          <w:rFonts w:ascii="华文楷体" w:eastAsia="华文楷体" w:hAnsi="华文楷体" w:cs="华文楷体" w:hint="eastAsia"/>
        </w:rPr>
        <w:t>年</w:t>
      </w:r>
      <w:r>
        <w:rPr>
          <w:rFonts w:ascii="华文楷体" w:eastAsia="华文楷体" w:hAnsi="华文楷体" w:cs="华文楷体" w:hint="eastAsia"/>
        </w:rPr>
        <w:t>03</w:t>
      </w:r>
      <w:r>
        <w:rPr>
          <w:rFonts w:ascii="华文楷体" w:eastAsia="华文楷体" w:hAnsi="华文楷体" w:cs="华文楷体" w:hint="eastAsia"/>
        </w:rPr>
        <w:t>月</w:t>
      </w:r>
      <w:r>
        <w:rPr>
          <w:rFonts w:ascii="华文楷体" w:eastAsia="华文楷体" w:hAnsi="华文楷体" w:cs="华文楷体" w:hint="eastAsia"/>
        </w:rPr>
        <w:t>12</w:t>
      </w:r>
      <w:r>
        <w:rPr>
          <w:rFonts w:ascii="华文楷体" w:eastAsia="华文楷体" w:hAnsi="华文楷体" w:cs="华文楷体" w:hint="eastAsia"/>
        </w:rPr>
        <w:t>日</w:t>
      </w:r>
      <w:r>
        <w:rPr>
          <w:rFonts w:ascii="华文楷体" w:eastAsia="华文楷体" w:hAnsi="华文楷体" w:cs="华文楷体" w:hint="eastAsia"/>
        </w:rPr>
        <w:t xml:space="preserve"> 01 </w:t>
      </w:r>
      <w:r>
        <w:rPr>
          <w:rFonts w:ascii="华文楷体" w:eastAsia="华文楷体" w:hAnsi="华文楷体" w:cs="华文楷体" w:hint="eastAsia"/>
        </w:rPr>
        <w:t>版）</w:t>
      </w:r>
    </w:p>
    <w:p w14:paraId="3A59462A" w14:textId="77777777" w:rsidR="00ED5EBF" w:rsidRDefault="002034C8">
      <w:pPr>
        <w:spacing w:line="360" w:lineRule="auto"/>
        <w:ind w:firstLineChars="200" w:firstLine="480"/>
        <w:jc w:val="right"/>
        <w:rPr>
          <w:rFonts w:ascii="华文楷体" w:eastAsia="华文楷体" w:hAnsi="华文楷体" w:cs="华文楷体"/>
        </w:rPr>
      </w:pPr>
      <w:r>
        <w:rPr>
          <w:rFonts w:ascii="华文楷体" w:eastAsia="华文楷体" w:hAnsi="华文楷体" w:cs="华文楷体" w:hint="eastAsia"/>
        </w:rPr>
        <w:t>(</w:t>
      </w:r>
      <w:r>
        <w:rPr>
          <w:rFonts w:ascii="华文楷体" w:eastAsia="华文楷体" w:hAnsi="华文楷体" w:cs="华文楷体" w:hint="eastAsia"/>
        </w:rPr>
        <w:t>责编：常雪梅、程宏毅</w:t>
      </w:r>
      <w:r>
        <w:rPr>
          <w:rFonts w:ascii="华文楷体" w:eastAsia="华文楷体" w:hAnsi="华文楷体" w:cs="华文楷体" w:hint="eastAsia"/>
        </w:rPr>
        <w:t>)</w:t>
      </w:r>
    </w:p>
    <w:p w14:paraId="0DE58F48" w14:textId="77777777" w:rsidR="00ED5EBF" w:rsidRDefault="002034C8">
      <w:pPr>
        <w:spacing w:line="360" w:lineRule="auto"/>
        <w:jc w:val="center"/>
        <w:rPr>
          <w:rFonts w:ascii="华文中宋" w:eastAsia="华文中宋" w:hAnsi="华文中宋" w:cs="华文中宋"/>
          <w:b/>
          <w:bCs/>
        </w:rPr>
      </w:pPr>
      <w:bookmarkStart w:id="9" w:name="习近平：扎扎实实推进军民融合深度发展为实现中国梦强军梦提供强大动力和战略支"/>
      <w:r>
        <w:rPr>
          <w:rFonts w:ascii="华文中宋" w:eastAsia="华文中宋" w:hAnsi="华文中宋" w:cs="华文中宋" w:hint="eastAsia"/>
          <w:b/>
          <w:bCs/>
        </w:rPr>
        <w:t>习近平：扎扎实实推进军民融合深度发展</w:t>
      </w:r>
      <w:r>
        <w:rPr>
          <w:rFonts w:ascii="华文中宋" w:eastAsia="华文中宋" w:hAnsi="华文中宋" w:cs="华文中宋" w:hint="eastAsia"/>
          <w:b/>
          <w:bCs/>
        </w:rPr>
        <w:t xml:space="preserve"> </w:t>
      </w:r>
      <w:r>
        <w:rPr>
          <w:rFonts w:ascii="华文中宋" w:eastAsia="华文中宋" w:hAnsi="华文中宋" w:cs="华文中宋" w:hint="eastAsia"/>
          <w:b/>
          <w:bCs/>
        </w:rPr>
        <w:t>为实现中国梦强</w:t>
      </w:r>
    </w:p>
    <w:p w14:paraId="3AB6755A" w14:textId="77777777" w:rsidR="00ED5EBF" w:rsidRDefault="002034C8">
      <w:pPr>
        <w:spacing w:line="360" w:lineRule="auto"/>
        <w:jc w:val="center"/>
        <w:rPr>
          <w:rFonts w:ascii="华文楷体" w:eastAsia="华文楷体" w:hAnsi="华文楷体" w:cs="华文楷体"/>
        </w:rPr>
      </w:pPr>
      <w:r>
        <w:rPr>
          <w:rFonts w:ascii="华文中宋" w:eastAsia="华文中宋" w:hAnsi="华文中宋" w:cs="华文中宋" w:hint="eastAsia"/>
          <w:b/>
          <w:bCs/>
        </w:rPr>
        <w:lastRenderedPageBreak/>
        <w:t>军梦提供强大动力和战略支撑</w:t>
      </w:r>
    </w:p>
    <w:bookmarkEnd w:id="9"/>
    <w:p w14:paraId="04C0E061"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2018</w:t>
      </w:r>
      <w:r>
        <w:rPr>
          <w:rFonts w:ascii="华文楷体" w:eastAsia="华文楷体" w:hAnsi="华文楷体" w:cs="华文楷体" w:hint="eastAsia"/>
        </w:rPr>
        <w:t>年</w:t>
      </w:r>
      <w:r>
        <w:rPr>
          <w:rFonts w:ascii="华文楷体" w:eastAsia="华文楷体" w:hAnsi="华文楷体" w:cs="华文楷体" w:hint="eastAsia"/>
        </w:rPr>
        <w:t>03</w:t>
      </w:r>
      <w:r>
        <w:rPr>
          <w:rFonts w:ascii="华文楷体" w:eastAsia="华文楷体" w:hAnsi="华文楷体" w:cs="华文楷体" w:hint="eastAsia"/>
        </w:rPr>
        <w:t>月</w:t>
      </w:r>
      <w:r>
        <w:rPr>
          <w:rFonts w:ascii="华文楷体" w:eastAsia="华文楷体" w:hAnsi="华文楷体" w:cs="华文楷体" w:hint="eastAsia"/>
        </w:rPr>
        <w:t>12</w:t>
      </w:r>
      <w:r>
        <w:rPr>
          <w:rFonts w:ascii="华文楷体" w:eastAsia="华文楷体" w:hAnsi="华文楷体" w:cs="华文楷体" w:hint="eastAsia"/>
        </w:rPr>
        <w:t>日</w:t>
      </w:r>
      <w:r>
        <w:rPr>
          <w:rFonts w:ascii="华文楷体" w:eastAsia="华文楷体" w:hAnsi="华文楷体" w:cs="华文楷体" w:hint="eastAsia"/>
        </w:rPr>
        <w:t xml:space="preserve">  </w:t>
      </w:r>
      <w:r>
        <w:rPr>
          <w:rFonts w:ascii="华文楷体" w:eastAsia="华文楷体" w:hAnsi="华文楷体" w:cs="华文楷体" w:hint="eastAsia"/>
        </w:rPr>
        <w:t>来源：新华网</w:t>
      </w:r>
    </w:p>
    <w:p w14:paraId="766CA52E" w14:textId="77777777" w:rsidR="00ED5EBF" w:rsidRDefault="00ED5EBF">
      <w:pPr>
        <w:spacing w:line="360" w:lineRule="auto"/>
        <w:jc w:val="center"/>
        <w:rPr>
          <w:rFonts w:ascii="华文楷体" w:eastAsia="华文楷体" w:hAnsi="华文楷体" w:cs="华文楷体"/>
        </w:rPr>
      </w:pPr>
    </w:p>
    <w:p w14:paraId="4109BB8A"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原标题：习近平：扎扎实实推进军民融合深度发展</w:t>
      </w:r>
      <w:r>
        <w:rPr>
          <w:rFonts w:ascii="华文楷体" w:eastAsia="华文楷体" w:hAnsi="华文楷体" w:cs="华文楷体" w:hint="eastAsia"/>
        </w:rPr>
        <w:t xml:space="preserve"> </w:t>
      </w:r>
      <w:r>
        <w:rPr>
          <w:rFonts w:ascii="华文楷体" w:eastAsia="华文楷体" w:hAnsi="华文楷体" w:cs="华文楷体" w:hint="eastAsia"/>
        </w:rPr>
        <w:t>为实现中国梦强军梦提供强大动力和战略支撑</w:t>
      </w:r>
    </w:p>
    <w:p w14:paraId="2D6C7147"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习近平在出席解放军和武警部队代表团全体会议时强调</w:t>
      </w:r>
    </w:p>
    <w:p w14:paraId="344289F5" w14:textId="77777777" w:rsidR="00ED5EBF" w:rsidRDefault="00ED5EBF">
      <w:pPr>
        <w:spacing w:line="360" w:lineRule="auto"/>
        <w:ind w:firstLineChars="200" w:firstLine="480"/>
        <w:rPr>
          <w:rFonts w:ascii="华文楷体" w:eastAsia="华文楷体" w:hAnsi="华文楷体" w:cs="华文楷体"/>
        </w:rPr>
      </w:pPr>
    </w:p>
    <w:p w14:paraId="77B35BAF"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扎扎实实推进军民融合深度发展</w:t>
      </w:r>
    </w:p>
    <w:p w14:paraId="36D1470E" w14:textId="77777777" w:rsidR="00ED5EBF" w:rsidRDefault="00ED5EBF">
      <w:pPr>
        <w:spacing w:line="360" w:lineRule="auto"/>
        <w:ind w:firstLineChars="200" w:firstLine="480"/>
        <w:rPr>
          <w:rFonts w:ascii="华文楷体" w:eastAsia="华文楷体" w:hAnsi="华文楷体" w:cs="华文楷体"/>
        </w:rPr>
      </w:pPr>
    </w:p>
    <w:p w14:paraId="159FAEF1"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为实现中国梦强军梦提供强大动力和战略支撑</w:t>
      </w:r>
    </w:p>
    <w:p w14:paraId="2A0718A3" w14:textId="77777777" w:rsidR="00ED5EBF" w:rsidRDefault="00ED5EBF">
      <w:pPr>
        <w:spacing w:line="360" w:lineRule="auto"/>
        <w:ind w:firstLineChars="200" w:firstLine="480"/>
        <w:rPr>
          <w:rFonts w:ascii="华文楷体" w:eastAsia="华文楷体" w:hAnsi="华文楷体" w:cs="华文楷体"/>
        </w:rPr>
      </w:pPr>
    </w:p>
    <w:p w14:paraId="6D48EAD2"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中共中央总书记、国家主席、中央军委主席习近平</w:t>
      </w:r>
      <w:r>
        <w:rPr>
          <w:rFonts w:ascii="华文楷体" w:eastAsia="华文楷体" w:hAnsi="华文楷体" w:cs="华文楷体" w:hint="eastAsia"/>
        </w:rPr>
        <w:t>12</w:t>
      </w:r>
      <w:r>
        <w:rPr>
          <w:rFonts w:ascii="华文楷体" w:eastAsia="华文楷体" w:hAnsi="华文楷体" w:cs="华文楷体" w:hint="eastAsia"/>
        </w:rPr>
        <w:t>日上午在出席十三届全国人大一次会议解放军和武警部队代表团全体会议时强调，实施军民融合发展战略是构建一体化国家战略体系和能力的必然选择，也是实现党在新时代的强军目标的必然选择，要加</w:t>
      </w:r>
      <w:r>
        <w:rPr>
          <w:rFonts w:ascii="华文楷体" w:eastAsia="华文楷体" w:hAnsi="华文楷体" w:cs="华文楷体" w:hint="eastAsia"/>
        </w:rPr>
        <w:t>强战略引领，加强改革创新，加强军地协同，加强任务落实，努力开创新时代军民融合深度发展新局面，为实现中国梦强军梦提供强大动力和战略支撑。</w:t>
      </w:r>
    </w:p>
    <w:p w14:paraId="216570AE" w14:textId="77777777" w:rsidR="00ED5EBF" w:rsidRDefault="00ED5EBF">
      <w:pPr>
        <w:spacing w:line="360" w:lineRule="auto"/>
        <w:ind w:firstLineChars="200" w:firstLine="480"/>
        <w:rPr>
          <w:rFonts w:ascii="华文楷体" w:eastAsia="华文楷体" w:hAnsi="华文楷体" w:cs="华文楷体"/>
        </w:rPr>
      </w:pPr>
    </w:p>
    <w:p w14:paraId="4BA07663"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当习近平走进会场时，全场响起热烈掌声。习近平同大家亲切握手，表示来到解放军和武警部队代表团，同各位代表共商国是，感到很高兴。</w:t>
      </w:r>
    </w:p>
    <w:p w14:paraId="65EA9020" w14:textId="77777777" w:rsidR="00ED5EBF" w:rsidRDefault="00ED5EBF">
      <w:pPr>
        <w:spacing w:line="360" w:lineRule="auto"/>
        <w:ind w:firstLineChars="200" w:firstLine="480"/>
        <w:rPr>
          <w:rFonts w:ascii="华文楷体" w:eastAsia="华文楷体" w:hAnsi="华文楷体" w:cs="华文楷体"/>
        </w:rPr>
      </w:pPr>
    </w:p>
    <w:p w14:paraId="72A8057F"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会上，黎火辉、郭普校、张学宇、王辉青、杨初格西、李伟、朱程、王宁等</w:t>
      </w:r>
      <w:r>
        <w:rPr>
          <w:rFonts w:ascii="华文楷体" w:eastAsia="华文楷体" w:hAnsi="华文楷体" w:cs="华文楷体" w:hint="eastAsia"/>
        </w:rPr>
        <w:lastRenderedPageBreak/>
        <w:t>8</w:t>
      </w:r>
      <w:r>
        <w:rPr>
          <w:rFonts w:ascii="华文楷体" w:eastAsia="华文楷体" w:hAnsi="华文楷体" w:cs="华文楷体" w:hint="eastAsia"/>
        </w:rPr>
        <w:t>位代表围绕推进军民融合、加强实战化训练、加快航天领域发展、深化政策制度改革、做好武警部队改革、完善退役军人管理保障等问题提出意见和建议。习近平同代表们深入交流，详细询问有关情况，</w:t>
      </w:r>
      <w:r>
        <w:rPr>
          <w:rFonts w:ascii="华文楷体" w:eastAsia="华文楷体" w:hAnsi="华文楷体" w:cs="华文楷体" w:hint="eastAsia"/>
        </w:rPr>
        <w:t>会场发言踊跃、气氛热烈。</w:t>
      </w:r>
    </w:p>
    <w:p w14:paraId="32E7CC3A" w14:textId="77777777" w:rsidR="00ED5EBF" w:rsidRDefault="00ED5EBF">
      <w:pPr>
        <w:spacing w:line="360" w:lineRule="auto"/>
        <w:ind w:firstLineChars="200" w:firstLine="480"/>
        <w:rPr>
          <w:rFonts w:ascii="华文楷体" w:eastAsia="华文楷体" w:hAnsi="华文楷体" w:cs="华文楷体"/>
        </w:rPr>
      </w:pPr>
    </w:p>
    <w:p w14:paraId="0192A6EA"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代表发言后，习近平发表重要讲话。他指出，党的十九大以来，全军坚决贯彻党中央和中央军委决策指示，认真学习贯彻党的十九大精神，深入学习贯彻新时代党的强军思想，围绕实现党在新时代的强军目标、把人民军队全面建成世界一流军队，加强练兵备战，深化国防和军队改革，狠抓全面从严治军，加快国防和军队现代化建设，强军事业迈出新步伐、展现新气象。</w:t>
      </w:r>
    </w:p>
    <w:p w14:paraId="721A0A50" w14:textId="77777777" w:rsidR="00ED5EBF" w:rsidRDefault="00ED5EBF">
      <w:pPr>
        <w:spacing w:line="360" w:lineRule="auto"/>
        <w:ind w:firstLineChars="200" w:firstLine="480"/>
        <w:rPr>
          <w:rFonts w:ascii="华文楷体" w:eastAsia="华文楷体" w:hAnsi="华文楷体" w:cs="华文楷体"/>
        </w:rPr>
      </w:pPr>
    </w:p>
    <w:p w14:paraId="6C0A9ED0"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习近平就实施军民融合发展战略、加快国防和军队建设提出要求。他强调，要加强国防科技创新，加快建设军民融合创新体系，大力提高国防科技自主创新能力，加大先进科技成果转化运用力度，推动我军建设向质量效能型和科技密集型转变。要密切关注世界军事科技和武器装备发展动向，突出抓好重点领域军民科技协同创新，推动重大科技项目一体论证和实施，努力抢占科技创新战略制高点。要强化开放共享观念，坚决打破封闭垄断，加强科技创新资源优化配置，挖掘全社会科技创新潜力，形成国防科技创新百舸争流、千帆竞发的生动局面。</w:t>
      </w:r>
    </w:p>
    <w:p w14:paraId="6E7B91C3" w14:textId="77777777" w:rsidR="00ED5EBF" w:rsidRDefault="00ED5EBF">
      <w:pPr>
        <w:spacing w:line="360" w:lineRule="auto"/>
        <w:ind w:firstLineChars="200" w:firstLine="480"/>
        <w:rPr>
          <w:rFonts w:ascii="华文楷体" w:eastAsia="华文楷体" w:hAnsi="华文楷体" w:cs="华文楷体"/>
        </w:rPr>
      </w:pPr>
    </w:p>
    <w:p w14:paraId="1593DDF4"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习近平指出，党的十八大以来，深化国防和军队改革大开大合、大破大立、蹄疾步稳，实现了我军组织架构和力量体系的整体性、革命性重塑，有效解决了制约我军建设的体制性障碍、结构性矛盾。要扎实推进政策制度改革，加快构建现代军事政策制度体系，坚决破除各方面体制机制弊端，坚定不移把改革进行到</w:t>
      </w:r>
      <w:r>
        <w:rPr>
          <w:rFonts w:ascii="华文楷体" w:eastAsia="华文楷体" w:hAnsi="华文楷体" w:cs="华文楷体" w:hint="eastAsia"/>
        </w:rPr>
        <w:lastRenderedPageBreak/>
        <w:t>底。要坚持用改革的思路和办法解决练兵备战工作中存在的突出问题，大抓实战化军事训练，加快提高我军战斗力。全军要坚决拥护和支持深化党和国家机构改革，加强同有关方面协调配合，共同落实好跨军地改革任务。组建退役军人管理保障机构对于更好为退役军人</w:t>
      </w:r>
      <w:r>
        <w:rPr>
          <w:rFonts w:ascii="华文楷体" w:eastAsia="华文楷体" w:hAnsi="华文楷体" w:cs="华文楷体" w:hint="eastAsia"/>
        </w:rPr>
        <w:t>服务、让军人成为全社会尊崇的职业具有重要意义，要把好事办好办实。</w:t>
      </w:r>
    </w:p>
    <w:p w14:paraId="64B693B5" w14:textId="77777777" w:rsidR="00ED5EBF" w:rsidRDefault="00ED5EBF">
      <w:pPr>
        <w:spacing w:line="360" w:lineRule="auto"/>
        <w:ind w:firstLineChars="200" w:firstLine="480"/>
        <w:rPr>
          <w:rFonts w:ascii="华文楷体" w:eastAsia="华文楷体" w:hAnsi="华文楷体" w:cs="华文楷体"/>
        </w:rPr>
      </w:pPr>
    </w:p>
    <w:p w14:paraId="4B4D7E30"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习近平强调，要加大依法治军工作力度，强化法治信仰和法治思维，加快构建中国特色军事法治体系，加快推动治军方式根本性转变。全军要增强宪法意识，弘扬宪法精神，做宪法的忠实崇尚者、自觉遵守者、坚定捍卫者。要适应党的纪律检查体制和国家监察体制改革要求，结合军队实际做好有关工作。要加强同国家立法工作的衔接，突出加强备战急需、改革急用、官兵急盼的军事法规制度建设。要坚持严字当头，强化执纪执法监督，严肃追责问责，把依法从严贯穿国防和军队建设各领域全过程。</w:t>
      </w:r>
    </w:p>
    <w:p w14:paraId="76EEE5CE" w14:textId="77777777" w:rsidR="00ED5EBF" w:rsidRDefault="00ED5EBF">
      <w:pPr>
        <w:spacing w:line="360" w:lineRule="auto"/>
        <w:ind w:firstLineChars="200" w:firstLine="480"/>
        <w:rPr>
          <w:rFonts w:ascii="华文楷体" w:eastAsia="华文楷体" w:hAnsi="华文楷体" w:cs="华文楷体"/>
        </w:rPr>
      </w:pPr>
    </w:p>
    <w:p w14:paraId="45F2FF08"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习近平指出，国防和军队建设是全党全军全国各族人民的共同事业。中央和国家机关、地方各级党委和政府要大力支持国防和军队建设，全军要积极支援地方经济社会发展。军地双方要发扬军爱民、民拥军的光荣传统，不断巩固军政军民关系，为实现“两个一百年”奋斗目标、实现中华民族伟大复兴的中国梦而共同奋斗。</w:t>
      </w:r>
    </w:p>
    <w:p w14:paraId="162E9EAA" w14:textId="77777777" w:rsidR="00ED5EBF" w:rsidRDefault="00ED5EBF">
      <w:pPr>
        <w:spacing w:line="360" w:lineRule="auto"/>
        <w:ind w:firstLineChars="200" w:firstLine="480"/>
        <w:rPr>
          <w:rFonts w:ascii="华文楷体" w:eastAsia="华文楷体" w:hAnsi="华文楷体" w:cs="华文楷体"/>
        </w:rPr>
      </w:pPr>
    </w:p>
    <w:p w14:paraId="1589A18C"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会前，习近平亲切接见出席十三届全国人大一次会议解放军和武警部队代表团全体代表，并同大家合影留念。</w:t>
      </w:r>
    </w:p>
    <w:p w14:paraId="5C073DC4" w14:textId="77777777" w:rsidR="00ED5EBF" w:rsidRDefault="00ED5EBF">
      <w:pPr>
        <w:spacing w:line="360" w:lineRule="auto"/>
        <w:ind w:firstLineChars="200" w:firstLine="480"/>
        <w:rPr>
          <w:rFonts w:ascii="华文楷体" w:eastAsia="华文楷体" w:hAnsi="华文楷体" w:cs="华文楷体"/>
        </w:rPr>
      </w:pPr>
    </w:p>
    <w:p w14:paraId="1CD9741A"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中共中央政治局委员、中央军委副主席许其亮主持会议，中共中央政治局委员、中央军委副主席张又侠，中央军委委员魏凤和、李作成、苗</w:t>
      </w:r>
      <w:r>
        <w:rPr>
          <w:rFonts w:ascii="华文楷体" w:eastAsia="华文楷体" w:hAnsi="华文楷体" w:cs="华文楷体" w:hint="eastAsia"/>
        </w:rPr>
        <w:t>华、张升民参加会议。（新华社北京</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12</w:t>
      </w:r>
      <w:r>
        <w:rPr>
          <w:rFonts w:ascii="华文楷体" w:eastAsia="华文楷体" w:hAnsi="华文楷体" w:cs="华文楷体" w:hint="eastAsia"/>
        </w:rPr>
        <w:t>日电</w:t>
      </w:r>
      <w:r>
        <w:rPr>
          <w:rFonts w:ascii="华文楷体" w:eastAsia="华文楷体" w:hAnsi="华文楷体" w:cs="华文楷体" w:hint="eastAsia"/>
        </w:rPr>
        <w:t xml:space="preserve"> </w:t>
      </w:r>
      <w:r>
        <w:rPr>
          <w:rFonts w:ascii="华文楷体" w:eastAsia="华文楷体" w:hAnsi="华文楷体" w:cs="华文楷体" w:hint="eastAsia"/>
        </w:rPr>
        <w:t>记者李宣良、梅世雄）</w:t>
      </w:r>
    </w:p>
    <w:p w14:paraId="5D47D280" w14:textId="77777777" w:rsidR="00ED5EBF" w:rsidRDefault="00ED5EBF">
      <w:pPr>
        <w:spacing w:line="360" w:lineRule="auto"/>
        <w:ind w:firstLineChars="200" w:firstLine="480"/>
        <w:rPr>
          <w:rFonts w:ascii="华文楷体" w:eastAsia="华文楷体" w:hAnsi="华文楷体" w:cs="华文楷体"/>
        </w:rPr>
      </w:pPr>
    </w:p>
    <w:p w14:paraId="2763562A"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w:t>
      </w:r>
      <w:r>
        <w:rPr>
          <w:rFonts w:ascii="华文楷体" w:eastAsia="华文楷体" w:hAnsi="华文楷体" w:cs="华文楷体" w:hint="eastAsia"/>
        </w:rPr>
        <w:t>责编：程宏毅、杨丽娜</w:t>
      </w:r>
      <w:r>
        <w:rPr>
          <w:rFonts w:ascii="华文楷体" w:eastAsia="华文楷体" w:hAnsi="华文楷体" w:cs="华文楷体" w:hint="eastAsia"/>
        </w:rPr>
        <w:t>)</w:t>
      </w:r>
    </w:p>
    <w:p w14:paraId="28ED3EAF" w14:textId="77777777" w:rsidR="00ED5EBF" w:rsidRDefault="00ED5EBF">
      <w:pPr>
        <w:spacing w:line="360" w:lineRule="auto"/>
        <w:ind w:firstLineChars="200" w:firstLine="480"/>
        <w:rPr>
          <w:rFonts w:ascii="华文楷体" w:eastAsia="华文楷体" w:hAnsi="华文楷体" w:cs="华文楷体"/>
        </w:rPr>
      </w:pPr>
    </w:p>
    <w:p w14:paraId="308A869C" w14:textId="77777777" w:rsidR="00ED5EBF" w:rsidRDefault="00ED5EBF">
      <w:pPr>
        <w:spacing w:line="360" w:lineRule="auto"/>
        <w:ind w:firstLineChars="200" w:firstLine="480"/>
        <w:rPr>
          <w:rFonts w:ascii="华文楷体" w:eastAsia="华文楷体" w:hAnsi="华文楷体" w:cs="华文楷体"/>
        </w:rPr>
      </w:pPr>
    </w:p>
    <w:p w14:paraId="4D5AC9A4" w14:textId="77777777" w:rsidR="00ED5EBF" w:rsidRDefault="00ED5EBF">
      <w:pPr>
        <w:spacing w:line="360" w:lineRule="auto"/>
        <w:ind w:firstLineChars="200" w:firstLine="480"/>
        <w:rPr>
          <w:rFonts w:ascii="华文楷体" w:eastAsia="华文楷体" w:hAnsi="华文楷体" w:cs="华文楷体"/>
        </w:rPr>
      </w:pPr>
    </w:p>
    <w:p w14:paraId="2EF6708C" w14:textId="77777777" w:rsidR="00ED5EBF" w:rsidRDefault="00ED5EBF">
      <w:pPr>
        <w:spacing w:line="360" w:lineRule="auto"/>
        <w:ind w:firstLineChars="200" w:firstLine="480"/>
        <w:rPr>
          <w:rFonts w:ascii="华文楷体" w:eastAsia="华文楷体" w:hAnsi="华文楷体" w:cs="华文楷体"/>
        </w:rPr>
      </w:pPr>
    </w:p>
    <w:p w14:paraId="3F4867C7" w14:textId="77777777" w:rsidR="00ED5EBF" w:rsidRDefault="00ED5EBF">
      <w:pPr>
        <w:spacing w:line="360" w:lineRule="auto"/>
        <w:ind w:firstLineChars="200" w:firstLine="480"/>
        <w:rPr>
          <w:rFonts w:ascii="华文楷体" w:eastAsia="华文楷体" w:hAnsi="华文楷体" w:cs="华文楷体"/>
        </w:rPr>
      </w:pPr>
    </w:p>
    <w:p w14:paraId="57C20A9E" w14:textId="77777777" w:rsidR="00ED5EBF" w:rsidRDefault="00ED5EBF">
      <w:pPr>
        <w:spacing w:line="360" w:lineRule="auto"/>
        <w:ind w:firstLineChars="200" w:firstLine="480"/>
        <w:rPr>
          <w:rFonts w:ascii="华文楷体" w:eastAsia="华文楷体" w:hAnsi="华文楷体" w:cs="华文楷体"/>
        </w:rPr>
      </w:pPr>
    </w:p>
    <w:p w14:paraId="4A1E3A9F" w14:textId="77777777" w:rsidR="00ED5EBF" w:rsidRDefault="00ED5EBF">
      <w:pPr>
        <w:spacing w:line="360" w:lineRule="auto"/>
        <w:ind w:firstLineChars="200" w:firstLine="480"/>
        <w:rPr>
          <w:rFonts w:ascii="华文楷体" w:eastAsia="华文楷体" w:hAnsi="华文楷体" w:cs="华文楷体"/>
        </w:rPr>
      </w:pPr>
    </w:p>
    <w:p w14:paraId="04BBBCD5" w14:textId="77777777" w:rsidR="00ED5EBF" w:rsidRDefault="00ED5EBF">
      <w:pPr>
        <w:spacing w:line="360" w:lineRule="auto"/>
        <w:ind w:firstLineChars="200" w:firstLine="480"/>
        <w:rPr>
          <w:rFonts w:ascii="华文楷体" w:eastAsia="华文楷体" w:hAnsi="华文楷体" w:cs="华文楷体"/>
        </w:rPr>
      </w:pPr>
    </w:p>
    <w:p w14:paraId="3147ED67" w14:textId="77777777" w:rsidR="00ED5EBF" w:rsidRDefault="00ED5EBF">
      <w:pPr>
        <w:spacing w:line="360" w:lineRule="auto"/>
        <w:ind w:firstLineChars="200" w:firstLine="480"/>
        <w:rPr>
          <w:rFonts w:ascii="华文楷体" w:eastAsia="华文楷体" w:hAnsi="华文楷体" w:cs="华文楷体"/>
        </w:rPr>
      </w:pPr>
    </w:p>
    <w:p w14:paraId="2F6B60D6" w14:textId="77777777" w:rsidR="00ED5EBF" w:rsidRDefault="00ED5EBF">
      <w:pPr>
        <w:spacing w:line="360" w:lineRule="auto"/>
        <w:ind w:firstLineChars="200" w:firstLine="480"/>
        <w:rPr>
          <w:rFonts w:ascii="华文楷体" w:eastAsia="华文楷体" w:hAnsi="华文楷体" w:cs="华文楷体"/>
        </w:rPr>
      </w:pPr>
    </w:p>
    <w:p w14:paraId="456EB21B" w14:textId="77777777" w:rsidR="00ED5EBF" w:rsidRDefault="00ED5EBF">
      <w:pPr>
        <w:spacing w:line="360" w:lineRule="auto"/>
        <w:ind w:firstLineChars="200" w:firstLine="480"/>
        <w:rPr>
          <w:rFonts w:ascii="华文楷体" w:eastAsia="华文楷体" w:hAnsi="华文楷体" w:cs="华文楷体"/>
        </w:rPr>
      </w:pPr>
    </w:p>
    <w:p w14:paraId="42B390C6" w14:textId="77777777" w:rsidR="00ED5EBF" w:rsidRDefault="00ED5EBF">
      <w:pPr>
        <w:spacing w:line="360" w:lineRule="auto"/>
        <w:ind w:firstLineChars="200" w:firstLine="480"/>
        <w:rPr>
          <w:rFonts w:ascii="华文楷体" w:eastAsia="华文楷体" w:hAnsi="华文楷体" w:cs="华文楷体"/>
        </w:rPr>
      </w:pPr>
    </w:p>
    <w:p w14:paraId="7DC5C308" w14:textId="77777777" w:rsidR="00ED5EBF" w:rsidRDefault="00ED5EBF">
      <w:pPr>
        <w:spacing w:line="360" w:lineRule="auto"/>
        <w:rPr>
          <w:rFonts w:ascii="华文楷体" w:eastAsia="华文楷体" w:hAnsi="华文楷体" w:cs="华文楷体"/>
        </w:rPr>
      </w:pPr>
    </w:p>
    <w:p w14:paraId="26D81892" w14:textId="77777777" w:rsidR="00ED5EBF" w:rsidRDefault="00ED5EBF">
      <w:pPr>
        <w:spacing w:line="360" w:lineRule="auto"/>
        <w:rPr>
          <w:rFonts w:ascii="华文楷体" w:eastAsia="华文楷体" w:hAnsi="华文楷体" w:cs="华文楷体"/>
        </w:rPr>
      </w:pPr>
    </w:p>
    <w:p w14:paraId="4B336CE2" w14:textId="77777777" w:rsidR="00ED5EBF" w:rsidRDefault="00ED5EBF">
      <w:pPr>
        <w:spacing w:line="360" w:lineRule="auto"/>
        <w:rPr>
          <w:rFonts w:ascii="华文楷体" w:eastAsia="华文楷体" w:hAnsi="华文楷体" w:cs="华文楷体"/>
        </w:rPr>
      </w:pPr>
    </w:p>
    <w:p w14:paraId="0EE4FDC2" w14:textId="77777777" w:rsidR="00ED5EBF" w:rsidRDefault="002034C8">
      <w:pPr>
        <w:spacing w:line="360" w:lineRule="auto"/>
        <w:jc w:val="center"/>
        <w:rPr>
          <w:rFonts w:ascii="华文楷体" w:eastAsia="华文楷体" w:hAnsi="华文楷体" w:cs="华文楷体"/>
        </w:rPr>
      </w:pPr>
      <w:bookmarkStart w:id="10" w:name="十三届全国人大一次会议举行第四次全体会议"/>
      <w:r>
        <w:rPr>
          <w:rFonts w:ascii="华文中宋" w:eastAsia="华文中宋" w:hAnsi="华文中宋" w:cs="华文中宋" w:hint="eastAsia"/>
          <w:b/>
          <w:bCs/>
        </w:rPr>
        <w:t>十三届全国人大一次会议举行第四次全体会议</w:t>
      </w:r>
    </w:p>
    <w:bookmarkEnd w:id="10"/>
    <w:p w14:paraId="01E7C549"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lastRenderedPageBreak/>
        <w:t>2018</w:t>
      </w:r>
      <w:r>
        <w:rPr>
          <w:rFonts w:ascii="华文楷体" w:eastAsia="华文楷体" w:hAnsi="华文楷体" w:cs="华文楷体" w:hint="eastAsia"/>
        </w:rPr>
        <w:t>年</w:t>
      </w:r>
      <w:r>
        <w:rPr>
          <w:rFonts w:ascii="华文楷体" w:eastAsia="华文楷体" w:hAnsi="华文楷体" w:cs="华文楷体" w:hint="eastAsia"/>
        </w:rPr>
        <w:t>03</w:t>
      </w:r>
      <w:r>
        <w:rPr>
          <w:rFonts w:ascii="华文楷体" w:eastAsia="华文楷体" w:hAnsi="华文楷体" w:cs="华文楷体" w:hint="eastAsia"/>
        </w:rPr>
        <w:t>月</w:t>
      </w:r>
      <w:r>
        <w:rPr>
          <w:rFonts w:ascii="华文楷体" w:eastAsia="华文楷体" w:hAnsi="华文楷体" w:cs="华文楷体" w:hint="eastAsia"/>
        </w:rPr>
        <w:t>13</w:t>
      </w:r>
      <w:r>
        <w:rPr>
          <w:rFonts w:ascii="华文楷体" w:eastAsia="华文楷体" w:hAnsi="华文楷体" w:cs="华文楷体" w:hint="eastAsia"/>
        </w:rPr>
        <w:t>日</w:t>
      </w:r>
      <w:r>
        <w:rPr>
          <w:rFonts w:ascii="华文楷体" w:eastAsia="华文楷体" w:hAnsi="华文楷体" w:cs="华文楷体" w:hint="eastAsia"/>
        </w:rPr>
        <w:t xml:space="preserve">  </w:t>
      </w:r>
      <w:r>
        <w:rPr>
          <w:rFonts w:ascii="华文楷体" w:eastAsia="华文楷体" w:hAnsi="华文楷体" w:cs="华文楷体" w:hint="eastAsia"/>
        </w:rPr>
        <w:t>来源：新华网</w:t>
      </w:r>
    </w:p>
    <w:p w14:paraId="338831C6"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原标题：十三届全国人大一次会议举行第四次全体会议</w:t>
      </w:r>
    </w:p>
    <w:p w14:paraId="0AEA51E0" w14:textId="77777777" w:rsidR="00ED5EBF" w:rsidRDefault="00ED5EBF">
      <w:pPr>
        <w:spacing w:line="360" w:lineRule="auto"/>
        <w:rPr>
          <w:rFonts w:ascii="华文楷体" w:eastAsia="华文楷体" w:hAnsi="华文楷体" w:cs="华文楷体"/>
        </w:rPr>
      </w:pPr>
    </w:p>
    <w:p w14:paraId="5A53B9CB" w14:textId="77777777" w:rsidR="00ED5EBF" w:rsidRDefault="002034C8">
      <w:pPr>
        <w:spacing w:line="360" w:lineRule="auto"/>
        <w:jc w:val="center"/>
        <w:rPr>
          <w:rFonts w:ascii="华文楷体" w:eastAsia="华文楷体" w:hAnsi="华文楷体" w:cs="华文楷体"/>
          <w:b/>
          <w:bCs/>
        </w:rPr>
      </w:pPr>
      <w:r>
        <w:rPr>
          <w:rFonts w:ascii="华文楷体" w:eastAsia="华文楷体" w:hAnsi="华文楷体" w:cs="华文楷体" w:hint="eastAsia"/>
          <w:b/>
          <w:bCs/>
        </w:rPr>
        <w:t>十三届全国人大一次会议举行第四次全体会议</w:t>
      </w:r>
    </w:p>
    <w:p w14:paraId="590B7C28" w14:textId="77777777" w:rsidR="00ED5EBF" w:rsidRDefault="002034C8">
      <w:pPr>
        <w:spacing w:line="360" w:lineRule="auto"/>
        <w:jc w:val="center"/>
        <w:rPr>
          <w:rFonts w:ascii="华文楷体" w:eastAsia="华文楷体" w:hAnsi="华文楷体" w:cs="华文楷体"/>
          <w:b/>
          <w:bCs/>
        </w:rPr>
      </w:pPr>
      <w:r>
        <w:rPr>
          <w:rFonts w:ascii="华文楷体" w:eastAsia="华文楷体" w:hAnsi="华文楷体" w:cs="华文楷体" w:hint="eastAsia"/>
          <w:b/>
          <w:bCs/>
        </w:rPr>
        <w:t>习近平李克强栗战书汪洋王沪宁赵乐际韩正等出席</w:t>
      </w:r>
    </w:p>
    <w:p w14:paraId="28A6FB73" w14:textId="77777777" w:rsidR="00ED5EBF" w:rsidRDefault="002034C8">
      <w:pPr>
        <w:spacing w:line="360" w:lineRule="auto"/>
        <w:jc w:val="center"/>
        <w:rPr>
          <w:rFonts w:ascii="华文楷体" w:eastAsia="华文楷体" w:hAnsi="华文楷体" w:cs="华文楷体"/>
          <w:b/>
          <w:bCs/>
        </w:rPr>
      </w:pPr>
      <w:r>
        <w:rPr>
          <w:rFonts w:ascii="华文楷体" w:eastAsia="华文楷体" w:hAnsi="华文楷体" w:cs="华文楷体" w:hint="eastAsia"/>
          <w:b/>
          <w:bCs/>
        </w:rPr>
        <w:t>听取关于监察法草案的说明、关于国务院机构改革方案的说明</w:t>
      </w:r>
    </w:p>
    <w:p w14:paraId="29093A5A" w14:textId="77777777" w:rsidR="00ED5EBF" w:rsidRDefault="00ED5EBF">
      <w:pPr>
        <w:spacing w:line="360" w:lineRule="auto"/>
        <w:rPr>
          <w:rFonts w:ascii="华文楷体" w:eastAsia="华文楷体" w:hAnsi="华文楷体" w:cs="华文楷体"/>
        </w:rPr>
      </w:pPr>
    </w:p>
    <w:p w14:paraId="621064C9"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十三届全国人大一次会议</w:t>
      </w:r>
      <w:r>
        <w:rPr>
          <w:rFonts w:ascii="华文楷体" w:eastAsia="华文楷体" w:hAnsi="华文楷体" w:cs="华文楷体" w:hint="eastAsia"/>
        </w:rPr>
        <w:t>13</w:t>
      </w:r>
      <w:r>
        <w:rPr>
          <w:rFonts w:ascii="华文楷体" w:eastAsia="华文楷体" w:hAnsi="华文楷体" w:cs="华文楷体" w:hint="eastAsia"/>
        </w:rPr>
        <w:t>日上午在人民大会堂举行第四次全体会议，听取全国人大常委会关于监察法草案的说明、国务院关于国务院机构改革方案的说明。</w:t>
      </w:r>
    </w:p>
    <w:p w14:paraId="29F767E9" w14:textId="77777777" w:rsidR="00ED5EBF" w:rsidRDefault="00ED5EBF">
      <w:pPr>
        <w:spacing w:line="360" w:lineRule="auto"/>
        <w:rPr>
          <w:rFonts w:ascii="华文楷体" w:eastAsia="华文楷体" w:hAnsi="华文楷体" w:cs="华文楷体"/>
        </w:rPr>
      </w:pPr>
    </w:p>
    <w:p w14:paraId="135A16E9"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习近平、李克强、栗战书、汪洋、王沪宁、赵乐际、韩正等出席会议。</w:t>
      </w:r>
    </w:p>
    <w:p w14:paraId="022DA424" w14:textId="77777777" w:rsidR="00ED5EBF" w:rsidRDefault="00ED5EBF">
      <w:pPr>
        <w:spacing w:line="360" w:lineRule="auto"/>
        <w:rPr>
          <w:rFonts w:ascii="华文楷体" w:eastAsia="华文楷体" w:hAnsi="华文楷体" w:cs="华文楷体"/>
        </w:rPr>
      </w:pPr>
    </w:p>
    <w:p w14:paraId="2BFEB519"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会议应出席代表</w:t>
      </w:r>
      <w:r>
        <w:rPr>
          <w:rFonts w:ascii="华文楷体" w:eastAsia="华文楷体" w:hAnsi="华文楷体" w:cs="华文楷体" w:hint="eastAsia"/>
        </w:rPr>
        <w:t>2980</w:t>
      </w:r>
      <w:r>
        <w:rPr>
          <w:rFonts w:ascii="华文楷体" w:eastAsia="华文楷体" w:hAnsi="华文楷体" w:cs="华文楷体" w:hint="eastAsia"/>
        </w:rPr>
        <w:t>人，出席</w:t>
      </w:r>
      <w:r>
        <w:rPr>
          <w:rFonts w:ascii="华文楷体" w:eastAsia="华文楷体" w:hAnsi="华文楷体" w:cs="华文楷体" w:hint="eastAsia"/>
        </w:rPr>
        <w:t>2962</w:t>
      </w:r>
      <w:r>
        <w:rPr>
          <w:rFonts w:ascii="华文楷体" w:eastAsia="华文楷体" w:hAnsi="华文楷体" w:cs="华文楷体" w:hint="eastAsia"/>
        </w:rPr>
        <w:t>人，缺席</w:t>
      </w:r>
      <w:r>
        <w:rPr>
          <w:rFonts w:ascii="华文楷体" w:eastAsia="华文楷体" w:hAnsi="华文楷体" w:cs="华文楷体" w:hint="eastAsia"/>
        </w:rPr>
        <w:t>18</w:t>
      </w:r>
      <w:r>
        <w:rPr>
          <w:rFonts w:ascii="华文楷体" w:eastAsia="华文楷体" w:hAnsi="华文楷体" w:cs="华文楷体" w:hint="eastAsia"/>
        </w:rPr>
        <w:t>人，出席人数符合法定人数。</w:t>
      </w:r>
    </w:p>
    <w:p w14:paraId="65764684" w14:textId="77777777" w:rsidR="00ED5EBF" w:rsidRDefault="00ED5EBF">
      <w:pPr>
        <w:spacing w:line="360" w:lineRule="auto"/>
        <w:rPr>
          <w:rFonts w:ascii="华文楷体" w:eastAsia="华文楷体" w:hAnsi="华文楷体" w:cs="华文楷体"/>
        </w:rPr>
      </w:pPr>
    </w:p>
    <w:p w14:paraId="057C1CE9"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受十二届全国人大常委会委托，十二届全国人大常委会副委员长李建国作关于监察法草案的说明。李建国说，制定监察法是贯彻落实党中央关于深化国家监察体制改革决策部署的重大举措；是坚持和加强党对反腐败工作的领导，构建集</w:t>
      </w:r>
      <w:r>
        <w:rPr>
          <w:rFonts w:ascii="华文楷体" w:eastAsia="华文楷体" w:hAnsi="华文楷体" w:cs="华文楷体" w:hint="eastAsia"/>
        </w:rPr>
        <w:t>中统一、权威高效的国家监察体系的必然要求；是总结党的十八大以来反腐败实践经验，为新形势下反腐败斗争提供坚强法治保障的现实需要；是坚持党内监督与国家监察有机统一，坚持走中国特色监察道路的创制之举；是加强宪法实施，</w:t>
      </w:r>
      <w:r>
        <w:rPr>
          <w:rFonts w:ascii="华文楷体" w:eastAsia="华文楷体" w:hAnsi="华文楷体" w:cs="华文楷体" w:hint="eastAsia"/>
        </w:rPr>
        <w:lastRenderedPageBreak/>
        <w:t>丰富和发展人民代表大会制度，推进国家治理体系和治理能力现代化的战略举措。</w:t>
      </w:r>
    </w:p>
    <w:p w14:paraId="056DB9CA" w14:textId="77777777" w:rsidR="00ED5EBF" w:rsidRDefault="00ED5EBF">
      <w:pPr>
        <w:spacing w:line="360" w:lineRule="auto"/>
        <w:rPr>
          <w:rFonts w:ascii="华文楷体" w:eastAsia="华文楷体" w:hAnsi="华文楷体" w:cs="华文楷体"/>
        </w:rPr>
      </w:pPr>
    </w:p>
    <w:p w14:paraId="5D7D3520"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李建国说，监察法立法工作遵循以下思路和原则：一是坚持正确政治方向；二是坚持与宪法修改保持一致；三是坚持问题导向；四是坚持科学立法、民主立法、依法立法。</w:t>
      </w:r>
    </w:p>
    <w:p w14:paraId="276BF60D" w14:textId="77777777" w:rsidR="00ED5EBF" w:rsidRDefault="00ED5EBF">
      <w:pPr>
        <w:spacing w:line="360" w:lineRule="auto"/>
        <w:rPr>
          <w:rFonts w:ascii="华文楷体" w:eastAsia="华文楷体" w:hAnsi="华文楷体" w:cs="华文楷体"/>
        </w:rPr>
      </w:pPr>
    </w:p>
    <w:p w14:paraId="73CB1A00"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李建国说，监察法草案共分</w:t>
      </w:r>
      <w:r>
        <w:rPr>
          <w:rFonts w:ascii="华文楷体" w:eastAsia="华文楷体" w:hAnsi="华文楷体" w:cs="华文楷体" w:hint="eastAsia"/>
        </w:rPr>
        <w:t>9</w:t>
      </w:r>
      <w:r>
        <w:rPr>
          <w:rFonts w:ascii="华文楷体" w:eastAsia="华文楷体" w:hAnsi="华文楷体" w:cs="华文楷体" w:hint="eastAsia"/>
        </w:rPr>
        <w:t>章，包括总则、监察机关及其职责、监察范</w:t>
      </w:r>
      <w:r>
        <w:rPr>
          <w:rFonts w:ascii="华文楷体" w:eastAsia="华文楷体" w:hAnsi="华文楷体" w:cs="华文楷体" w:hint="eastAsia"/>
        </w:rPr>
        <w:t>围和管辖、监察权限、监察程序、反腐败国际合作、对监察机关和监察人员的监督、法律责任和附则，共</w:t>
      </w:r>
      <w:r>
        <w:rPr>
          <w:rFonts w:ascii="华文楷体" w:eastAsia="华文楷体" w:hAnsi="华文楷体" w:cs="华文楷体" w:hint="eastAsia"/>
        </w:rPr>
        <w:t>69</w:t>
      </w:r>
      <w:r>
        <w:rPr>
          <w:rFonts w:ascii="华文楷体" w:eastAsia="华文楷体" w:hAnsi="华文楷体" w:cs="华文楷体" w:hint="eastAsia"/>
        </w:rPr>
        <w:t>条。包括</w:t>
      </w:r>
      <w:r>
        <w:rPr>
          <w:rFonts w:ascii="华文楷体" w:eastAsia="华文楷体" w:hAnsi="华文楷体" w:cs="华文楷体" w:hint="eastAsia"/>
        </w:rPr>
        <w:t>7</w:t>
      </w:r>
      <w:r>
        <w:rPr>
          <w:rFonts w:ascii="华文楷体" w:eastAsia="华文楷体" w:hAnsi="华文楷体" w:cs="华文楷体" w:hint="eastAsia"/>
        </w:rPr>
        <w:t>个方面主要内容：一是明确监察工作的指导思想和领导体制；二是明确监察工作的原则和方针；三是明确监察委员会的产生和职责；四是实现对所有行使公权力的公职人员监察全覆盖；五是赋予监察机关必要的权限；六是严格规范监察程序；七是加强对监察机关和监察人员的监督。</w:t>
      </w:r>
    </w:p>
    <w:p w14:paraId="51B16491" w14:textId="77777777" w:rsidR="00ED5EBF" w:rsidRDefault="00ED5EBF">
      <w:pPr>
        <w:spacing w:line="360" w:lineRule="auto"/>
        <w:rPr>
          <w:rFonts w:ascii="华文楷体" w:eastAsia="华文楷体" w:hAnsi="华文楷体" w:cs="华文楷体"/>
        </w:rPr>
      </w:pPr>
    </w:p>
    <w:p w14:paraId="1D6BDE2D"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国务院总理李克强提请审议的国务院机构改革方案的议案指出，中国共产党第十九次全国代表大会明确要求深化机构和行政体制改革。党的十九届三中全会审议通过了《深</w:t>
      </w:r>
      <w:r>
        <w:rPr>
          <w:rFonts w:ascii="华文楷体" w:eastAsia="华文楷体" w:hAnsi="华文楷体" w:cs="华文楷体" w:hint="eastAsia"/>
        </w:rPr>
        <w:t>化党和国家机构改革方案》，同意将其中涉及国务院机构改革的内容提交第十三届全国人民代表大会第一次会议审议。现将根据《深化党和国家机构改革方案》形成的《国务院机构改革方案》提请第十三届全国人民代表大会第一次会议审议。</w:t>
      </w:r>
    </w:p>
    <w:p w14:paraId="4E373379" w14:textId="77777777" w:rsidR="00ED5EBF" w:rsidRDefault="00ED5EBF">
      <w:pPr>
        <w:spacing w:line="360" w:lineRule="auto"/>
        <w:rPr>
          <w:rFonts w:ascii="华文楷体" w:eastAsia="华文楷体" w:hAnsi="华文楷体" w:cs="华文楷体"/>
        </w:rPr>
      </w:pPr>
    </w:p>
    <w:p w14:paraId="36BE7B9B"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受国务院委托，国务委员王勇作关于国务院机构改革方案的说明。王勇说，</w:t>
      </w:r>
      <w:r>
        <w:rPr>
          <w:rFonts w:ascii="华文楷体" w:eastAsia="华文楷体" w:hAnsi="华文楷体" w:cs="华文楷体" w:hint="eastAsia"/>
        </w:rPr>
        <w:lastRenderedPageBreak/>
        <w:t>这次国务院机构改革的具体内容如下，一是关于国务院组成部门调整，组建自然资源部，组建生态环境部，组建农业农村部，组建文化和旅游部，组建国家卫生健康委员会，组建退役军人事务部，组建应急管理部，重新组建科学技术部，重新组建司法部，优</w:t>
      </w:r>
      <w:r>
        <w:rPr>
          <w:rFonts w:ascii="华文楷体" w:eastAsia="华文楷体" w:hAnsi="华文楷体" w:cs="华文楷体" w:hint="eastAsia"/>
        </w:rPr>
        <w:t>化水利部职责，优化审计署职责，监察部、国家预防腐败局并入国家监察委员会；二是关于国务院其他机构调整，组建国家市场监督管理总局，组建国家广播电视总局，组建中国银行保险监督管理委员会，组建国家国际发展合作署，组建国家医疗保障局，组建国家粮食和物资储备局，组建国家移民管理局，组建国家林业和草原局，重新组建国家知识产权局，调整全国社会保障基金理事会隶属关系，改革国税地税征管体制。</w:t>
      </w:r>
    </w:p>
    <w:p w14:paraId="4498AA32" w14:textId="77777777" w:rsidR="00ED5EBF" w:rsidRDefault="00ED5EBF">
      <w:pPr>
        <w:spacing w:line="360" w:lineRule="auto"/>
        <w:rPr>
          <w:rFonts w:ascii="华文楷体" w:eastAsia="华文楷体" w:hAnsi="华文楷体" w:cs="华文楷体"/>
        </w:rPr>
      </w:pPr>
    </w:p>
    <w:p w14:paraId="2FC6258B"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王勇指出，总的看，这次国务院机构改革贯彻落实党的十九大和十九届三中全会精神，落实坚持和加强党的全面领导的要求，适应新时代我国社会主</w:t>
      </w:r>
      <w:r>
        <w:rPr>
          <w:rFonts w:ascii="华文楷体" w:eastAsia="华文楷体" w:hAnsi="华文楷体" w:cs="华文楷体" w:hint="eastAsia"/>
        </w:rPr>
        <w:t>要矛盾变化，聚焦发展所需、基层所盼、民心所向，按照优化协同高效的原则，既立足当前也着眼长远，优化了国务院机构设置和职能配置，理顺了职责关系。改革后，国务院正部级机构减少</w:t>
      </w:r>
      <w:r>
        <w:rPr>
          <w:rFonts w:ascii="华文楷体" w:eastAsia="华文楷体" w:hAnsi="华文楷体" w:cs="华文楷体" w:hint="eastAsia"/>
        </w:rPr>
        <w:t>8</w:t>
      </w:r>
      <w:r>
        <w:rPr>
          <w:rFonts w:ascii="华文楷体" w:eastAsia="华文楷体" w:hAnsi="华文楷体" w:cs="华文楷体" w:hint="eastAsia"/>
        </w:rPr>
        <w:t>个，副部级机构减少</w:t>
      </w:r>
      <w:r>
        <w:rPr>
          <w:rFonts w:ascii="华文楷体" w:eastAsia="华文楷体" w:hAnsi="华文楷体" w:cs="华文楷体" w:hint="eastAsia"/>
        </w:rPr>
        <w:t>7</w:t>
      </w:r>
      <w:r>
        <w:rPr>
          <w:rFonts w:ascii="华文楷体" w:eastAsia="华文楷体" w:hAnsi="华文楷体" w:cs="华文楷体" w:hint="eastAsia"/>
        </w:rPr>
        <w:t>个。通过改革，国务院机构设置更加符合实际、科学合理、更有效率，必将为全面贯彻落实党的十九大部署的各项任务提供有力组织保障。</w:t>
      </w:r>
    </w:p>
    <w:p w14:paraId="5F9B161E" w14:textId="77777777" w:rsidR="00ED5EBF" w:rsidRDefault="00ED5EBF">
      <w:pPr>
        <w:spacing w:line="360" w:lineRule="auto"/>
        <w:rPr>
          <w:rFonts w:ascii="华文楷体" w:eastAsia="华文楷体" w:hAnsi="华文楷体" w:cs="华文楷体"/>
        </w:rPr>
      </w:pPr>
    </w:p>
    <w:p w14:paraId="5BAC67D2"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会议经过表决，通过了十三届全国人大一次会议关于设立十三届全国人大专门委员会的决定，通过了十三届全国人大一次会议关于十三届全国人大专门委员会主任委员、副主任委员、委员人选的表决办法，通过了十三届</w:t>
      </w:r>
      <w:r>
        <w:rPr>
          <w:rFonts w:ascii="华文楷体" w:eastAsia="华文楷体" w:hAnsi="华文楷体" w:cs="华文楷体" w:hint="eastAsia"/>
        </w:rPr>
        <w:t>全国人大宪法和法律委员会主任委员、副主任委员、委员名单，通过了十三届全国人大财政经济</w:t>
      </w:r>
      <w:r>
        <w:rPr>
          <w:rFonts w:ascii="华文楷体" w:eastAsia="华文楷体" w:hAnsi="华文楷体" w:cs="华文楷体" w:hint="eastAsia"/>
        </w:rPr>
        <w:lastRenderedPageBreak/>
        <w:t>委员会主任委员、副主任委员、委员名单。</w:t>
      </w:r>
    </w:p>
    <w:p w14:paraId="0017C4DA" w14:textId="77777777" w:rsidR="00ED5EBF" w:rsidRDefault="00ED5EBF">
      <w:pPr>
        <w:spacing w:line="360" w:lineRule="auto"/>
        <w:rPr>
          <w:rFonts w:ascii="华文楷体" w:eastAsia="华文楷体" w:hAnsi="华文楷体" w:cs="华文楷体"/>
        </w:rPr>
      </w:pPr>
    </w:p>
    <w:p w14:paraId="2AE77F57"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大会主席团常务主席、执行主席曹建明主持会议。大会执行主席王东峰、王国生、李伟、林铎、黄志贤、谢伏瞻在主席台执行主席席就座。</w:t>
      </w:r>
      <w:r>
        <w:rPr>
          <w:rFonts w:ascii="华文楷体" w:eastAsia="华文楷体" w:hAnsi="华文楷体" w:cs="华文楷体" w:hint="eastAsia"/>
        </w:rPr>
        <w:t>(</w:t>
      </w:r>
      <w:r>
        <w:rPr>
          <w:rFonts w:ascii="华文楷体" w:eastAsia="华文楷体" w:hAnsi="华文楷体" w:cs="华文楷体" w:hint="eastAsia"/>
        </w:rPr>
        <w:t>新华社北京</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13</w:t>
      </w:r>
      <w:r>
        <w:rPr>
          <w:rFonts w:ascii="华文楷体" w:eastAsia="华文楷体" w:hAnsi="华文楷体" w:cs="华文楷体" w:hint="eastAsia"/>
        </w:rPr>
        <w:t>日电</w:t>
      </w:r>
      <w:r>
        <w:rPr>
          <w:rFonts w:ascii="华文楷体" w:eastAsia="华文楷体" w:hAnsi="华文楷体" w:cs="华文楷体" w:hint="eastAsia"/>
        </w:rPr>
        <w:t>)</w:t>
      </w:r>
    </w:p>
    <w:p w14:paraId="0E0D0387" w14:textId="77777777" w:rsidR="00ED5EBF" w:rsidRDefault="00ED5EBF">
      <w:pPr>
        <w:spacing w:line="360" w:lineRule="auto"/>
        <w:rPr>
          <w:rFonts w:ascii="华文楷体" w:eastAsia="华文楷体" w:hAnsi="华文楷体" w:cs="华文楷体"/>
        </w:rPr>
      </w:pPr>
    </w:p>
    <w:p w14:paraId="244D07C5" w14:textId="77777777" w:rsidR="00ED5EBF" w:rsidRDefault="002034C8">
      <w:pPr>
        <w:spacing w:line="360" w:lineRule="auto"/>
        <w:jc w:val="right"/>
        <w:rPr>
          <w:rFonts w:ascii="华文楷体" w:eastAsia="华文楷体" w:hAnsi="华文楷体" w:cs="华文楷体"/>
        </w:rPr>
      </w:pPr>
      <w:r>
        <w:rPr>
          <w:rFonts w:ascii="华文楷体" w:eastAsia="华文楷体" w:hAnsi="华文楷体" w:cs="华文楷体" w:hint="eastAsia"/>
        </w:rPr>
        <w:t>(</w:t>
      </w:r>
      <w:r>
        <w:rPr>
          <w:rFonts w:ascii="华文楷体" w:eastAsia="华文楷体" w:hAnsi="华文楷体" w:cs="华文楷体" w:hint="eastAsia"/>
        </w:rPr>
        <w:t>责编：马媛、程宏毅</w:t>
      </w:r>
      <w:r>
        <w:rPr>
          <w:rFonts w:ascii="华文楷体" w:eastAsia="华文楷体" w:hAnsi="华文楷体" w:cs="华文楷体" w:hint="eastAsia"/>
        </w:rPr>
        <w:t>)</w:t>
      </w:r>
    </w:p>
    <w:p w14:paraId="3A2FCD1C" w14:textId="77777777" w:rsidR="00ED5EBF" w:rsidRDefault="00ED5EBF">
      <w:pPr>
        <w:spacing w:line="360" w:lineRule="auto"/>
        <w:jc w:val="right"/>
        <w:rPr>
          <w:rFonts w:ascii="华文楷体" w:eastAsia="华文楷体" w:hAnsi="华文楷体" w:cs="华文楷体"/>
        </w:rPr>
      </w:pPr>
    </w:p>
    <w:p w14:paraId="56DC7C05" w14:textId="77777777" w:rsidR="00ED5EBF" w:rsidRDefault="00ED5EBF">
      <w:pPr>
        <w:spacing w:line="360" w:lineRule="auto"/>
        <w:jc w:val="right"/>
        <w:rPr>
          <w:rFonts w:ascii="华文楷体" w:eastAsia="华文楷体" w:hAnsi="华文楷体" w:cs="华文楷体"/>
        </w:rPr>
      </w:pPr>
    </w:p>
    <w:p w14:paraId="638EA547" w14:textId="77777777" w:rsidR="00ED5EBF" w:rsidRDefault="00ED5EBF">
      <w:pPr>
        <w:spacing w:line="360" w:lineRule="auto"/>
        <w:jc w:val="right"/>
        <w:rPr>
          <w:rFonts w:ascii="华文楷体" w:eastAsia="华文楷体" w:hAnsi="华文楷体" w:cs="华文楷体"/>
        </w:rPr>
      </w:pPr>
    </w:p>
    <w:p w14:paraId="72679059" w14:textId="77777777" w:rsidR="00ED5EBF" w:rsidRDefault="00ED5EBF">
      <w:pPr>
        <w:spacing w:line="360" w:lineRule="auto"/>
        <w:jc w:val="right"/>
        <w:rPr>
          <w:rFonts w:ascii="华文楷体" w:eastAsia="华文楷体" w:hAnsi="华文楷体" w:cs="华文楷体"/>
        </w:rPr>
      </w:pPr>
    </w:p>
    <w:p w14:paraId="0A199455" w14:textId="77777777" w:rsidR="00ED5EBF" w:rsidRDefault="00ED5EBF">
      <w:pPr>
        <w:spacing w:line="360" w:lineRule="auto"/>
        <w:jc w:val="right"/>
        <w:rPr>
          <w:rFonts w:ascii="华文楷体" w:eastAsia="华文楷体" w:hAnsi="华文楷体" w:cs="华文楷体"/>
        </w:rPr>
      </w:pPr>
    </w:p>
    <w:p w14:paraId="125C26DF" w14:textId="77777777" w:rsidR="00ED5EBF" w:rsidRDefault="00ED5EBF">
      <w:pPr>
        <w:spacing w:line="360" w:lineRule="auto"/>
        <w:jc w:val="right"/>
        <w:rPr>
          <w:rFonts w:ascii="华文楷体" w:eastAsia="华文楷体" w:hAnsi="华文楷体" w:cs="华文楷体"/>
        </w:rPr>
      </w:pPr>
    </w:p>
    <w:p w14:paraId="744BF002" w14:textId="77777777" w:rsidR="00ED5EBF" w:rsidRDefault="00ED5EBF">
      <w:pPr>
        <w:spacing w:line="360" w:lineRule="auto"/>
        <w:jc w:val="right"/>
        <w:rPr>
          <w:rFonts w:ascii="华文楷体" w:eastAsia="华文楷体" w:hAnsi="华文楷体" w:cs="华文楷体"/>
        </w:rPr>
      </w:pPr>
    </w:p>
    <w:p w14:paraId="20436302" w14:textId="77777777" w:rsidR="00ED5EBF" w:rsidRDefault="00ED5EBF">
      <w:pPr>
        <w:spacing w:line="360" w:lineRule="auto"/>
        <w:jc w:val="right"/>
        <w:rPr>
          <w:rFonts w:ascii="华文楷体" w:eastAsia="华文楷体" w:hAnsi="华文楷体" w:cs="华文楷体"/>
        </w:rPr>
      </w:pPr>
    </w:p>
    <w:p w14:paraId="5439F4F4" w14:textId="77777777" w:rsidR="00ED5EBF" w:rsidRDefault="00ED5EBF">
      <w:pPr>
        <w:spacing w:line="360" w:lineRule="auto"/>
        <w:jc w:val="right"/>
        <w:rPr>
          <w:rFonts w:ascii="华文楷体" w:eastAsia="华文楷体" w:hAnsi="华文楷体" w:cs="华文楷体"/>
        </w:rPr>
      </w:pPr>
    </w:p>
    <w:p w14:paraId="4E771B71" w14:textId="77777777" w:rsidR="00ED5EBF" w:rsidRDefault="00ED5EBF">
      <w:pPr>
        <w:spacing w:line="360" w:lineRule="auto"/>
        <w:jc w:val="right"/>
        <w:rPr>
          <w:rFonts w:ascii="华文楷体" w:eastAsia="华文楷体" w:hAnsi="华文楷体" w:cs="华文楷体"/>
        </w:rPr>
      </w:pPr>
    </w:p>
    <w:p w14:paraId="4A649FFB" w14:textId="77777777" w:rsidR="00ED5EBF" w:rsidRDefault="00ED5EBF">
      <w:pPr>
        <w:spacing w:line="360" w:lineRule="auto"/>
        <w:jc w:val="right"/>
        <w:rPr>
          <w:rFonts w:ascii="华文楷体" w:eastAsia="华文楷体" w:hAnsi="华文楷体" w:cs="华文楷体"/>
        </w:rPr>
      </w:pPr>
    </w:p>
    <w:p w14:paraId="115A4989" w14:textId="77777777" w:rsidR="00ED5EBF" w:rsidRDefault="00ED5EBF">
      <w:pPr>
        <w:spacing w:line="360" w:lineRule="auto"/>
        <w:jc w:val="right"/>
        <w:rPr>
          <w:rFonts w:ascii="华文楷体" w:eastAsia="华文楷体" w:hAnsi="华文楷体" w:cs="华文楷体"/>
        </w:rPr>
      </w:pPr>
    </w:p>
    <w:p w14:paraId="4FC3CF15" w14:textId="77777777" w:rsidR="00ED5EBF" w:rsidRDefault="00ED5EBF">
      <w:pPr>
        <w:spacing w:line="360" w:lineRule="auto"/>
        <w:jc w:val="right"/>
        <w:rPr>
          <w:rFonts w:ascii="华文楷体" w:eastAsia="华文楷体" w:hAnsi="华文楷体" w:cs="华文楷体"/>
        </w:rPr>
      </w:pPr>
    </w:p>
    <w:p w14:paraId="25EC28F4" w14:textId="77777777" w:rsidR="00ED5EBF" w:rsidRDefault="00ED5EBF">
      <w:pPr>
        <w:spacing w:line="360" w:lineRule="auto"/>
        <w:jc w:val="right"/>
        <w:rPr>
          <w:rFonts w:ascii="华文楷体" w:eastAsia="华文楷体" w:hAnsi="华文楷体" w:cs="华文楷体"/>
        </w:rPr>
      </w:pPr>
    </w:p>
    <w:p w14:paraId="6FEBE7B0" w14:textId="77777777" w:rsidR="00ED5EBF" w:rsidRDefault="002034C8">
      <w:pPr>
        <w:pStyle w:val="1"/>
        <w:widowControl/>
        <w:shd w:val="clear" w:color="auto" w:fill="FFFFFF"/>
        <w:spacing w:before="300" w:beforeAutospacing="0" w:after="225" w:afterAutospacing="0" w:line="480" w:lineRule="atLeast"/>
        <w:jc w:val="center"/>
        <w:rPr>
          <w:rFonts w:ascii="华文中宋" w:eastAsia="华文中宋" w:hAnsi="华文中宋" w:cs="华文中宋" w:hint="default"/>
          <w:color w:val="000000"/>
          <w:sz w:val="24"/>
          <w:szCs w:val="24"/>
        </w:rPr>
      </w:pPr>
      <w:bookmarkStart w:id="11" w:name="_Toc27413"/>
      <w:bookmarkStart w:id="12" w:name="全国政协十三届一次会议闭幕习近平李克强张德江俞正声张高丽栗战书王沪宁赵乐际韩正"/>
      <w:r>
        <w:rPr>
          <w:rFonts w:ascii="华文中宋" w:eastAsia="华文中宋" w:hAnsi="华文中宋" w:cs="华文中宋"/>
          <w:color w:val="000000"/>
          <w:sz w:val="24"/>
          <w:szCs w:val="24"/>
          <w:shd w:val="clear" w:color="auto" w:fill="FFFFFF"/>
        </w:rPr>
        <w:lastRenderedPageBreak/>
        <w:t>全国政协十三届一次会议闭幕</w:t>
      </w:r>
      <w:r>
        <w:rPr>
          <w:rFonts w:ascii="华文中宋" w:eastAsia="华文中宋" w:hAnsi="华文中宋" w:cs="华文中宋"/>
          <w:color w:val="000000"/>
          <w:sz w:val="24"/>
          <w:szCs w:val="24"/>
          <w:shd w:val="clear" w:color="auto" w:fill="FFFFFF"/>
        </w:rPr>
        <w:t> </w:t>
      </w:r>
      <w:r>
        <w:rPr>
          <w:rFonts w:ascii="华文中宋" w:eastAsia="华文中宋" w:hAnsi="华文中宋" w:cs="华文中宋"/>
          <w:color w:val="000000"/>
          <w:sz w:val="24"/>
          <w:szCs w:val="24"/>
          <w:shd w:val="clear" w:color="auto" w:fill="FFFFFF"/>
        </w:rPr>
        <w:t>习近平李克强张德江俞正声张高丽栗战书王沪宁赵乐际韩正出席</w:t>
      </w:r>
      <w:bookmarkEnd w:id="11"/>
      <w:bookmarkEnd w:id="12"/>
    </w:p>
    <w:p w14:paraId="48243CFA" w14:textId="77777777" w:rsidR="00ED5EBF" w:rsidRDefault="002034C8">
      <w:pPr>
        <w:pStyle w:val="2"/>
        <w:widowControl/>
        <w:shd w:val="clear" w:color="auto" w:fill="FFFFFF"/>
        <w:spacing w:beforeAutospacing="0" w:after="150" w:afterAutospacing="0"/>
        <w:jc w:val="center"/>
        <w:rPr>
          <w:rFonts w:cs="宋体" w:hint="default"/>
          <w:color w:val="000000"/>
          <w:sz w:val="24"/>
          <w:szCs w:val="24"/>
        </w:rPr>
      </w:pPr>
      <w:bookmarkStart w:id="13" w:name="_Toc21601"/>
      <w:r>
        <w:rPr>
          <w:rFonts w:cs="宋体"/>
          <w:color w:val="000000"/>
          <w:sz w:val="24"/>
          <w:szCs w:val="24"/>
          <w:shd w:val="clear" w:color="auto" w:fill="FFFFFF"/>
        </w:rPr>
        <w:t>汪洋发表讲话</w:t>
      </w:r>
      <w:bookmarkEnd w:id="13"/>
    </w:p>
    <w:p w14:paraId="31442E58" w14:textId="77777777" w:rsidR="00ED5EBF" w:rsidRDefault="002034C8">
      <w:pPr>
        <w:pStyle w:val="a7"/>
        <w:widowControl/>
        <w:shd w:val="clear" w:color="auto" w:fill="FFFFFF"/>
        <w:spacing w:before="150" w:beforeAutospacing="0" w:afterAutospacing="0"/>
        <w:jc w:val="center"/>
        <w:rPr>
          <w:rFonts w:ascii="华文楷体" w:eastAsia="华文楷体" w:hAnsi="华文楷体" w:cs="华文楷体"/>
          <w:color w:val="000000"/>
          <w:sz w:val="21"/>
          <w:szCs w:val="21"/>
        </w:rPr>
      </w:pPr>
      <w:r>
        <w:rPr>
          <w:rFonts w:ascii="华文楷体" w:eastAsia="华文楷体" w:hAnsi="华文楷体" w:cs="华文楷体" w:hint="eastAsia"/>
          <w:color w:val="000000"/>
          <w:sz w:val="21"/>
          <w:szCs w:val="21"/>
          <w:shd w:val="clear" w:color="auto" w:fill="FFFFFF"/>
        </w:rPr>
        <w:t>2018</w:t>
      </w:r>
      <w:r>
        <w:rPr>
          <w:rFonts w:ascii="华文楷体" w:eastAsia="华文楷体" w:hAnsi="华文楷体" w:cs="华文楷体" w:hint="eastAsia"/>
          <w:color w:val="000000"/>
          <w:sz w:val="21"/>
          <w:szCs w:val="21"/>
          <w:shd w:val="clear" w:color="auto" w:fill="FFFFFF"/>
        </w:rPr>
        <w:t>年</w:t>
      </w:r>
      <w:r>
        <w:rPr>
          <w:rFonts w:ascii="华文楷体" w:eastAsia="华文楷体" w:hAnsi="华文楷体" w:cs="华文楷体" w:hint="eastAsia"/>
          <w:color w:val="000000"/>
          <w:sz w:val="21"/>
          <w:szCs w:val="21"/>
          <w:shd w:val="clear" w:color="auto" w:fill="FFFFFF"/>
        </w:rPr>
        <w:t>03</w:t>
      </w:r>
      <w:r>
        <w:rPr>
          <w:rFonts w:ascii="华文楷体" w:eastAsia="华文楷体" w:hAnsi="华文楷体" w:cs="华文楷体" w:hint="eastAsia"/>
          <w:color w:val="000000"/>
          <w:sz w:val="21"/>
          <w:szCs w:val="21"/>
          <w:shd w:val="clear" w:color="auto" w:fill="FFFFFF"/>
        </w:rPr>
        <w:t>月</w:t>
      </w:r>
      <w:r>
        <w:rPr>
          <w:rFonts w:ascii="华文楷体" w:eastAsia="华文楷体" w:hAnsi="华文楷体" w:cs="华文楷体" w:hint="eastAsia"/>
          <w:color w:val="000000"/>
          <w:sz w:val="21"/>
          <w:szCs w:val="21"/>
          <w:shd w:val="clear" w:color="auto" w:fill="FFFFFF"/>
        </w:rPr>
        <w:t>16</w:t>
      </w:r>
      <w:r>
        <w:rPr>
          <w:rFonts w:ascii="华文楷体" w:eastAsia="华文楷体" w:hAnsi="华文楷体" w:cs="华文楷体" w:hint="eastAsia"/>
          <w:color w:val="000000"/>
          <w:sz w:val="21"/>
          <w:szCs w:val="21"/>
          <w:shd w:val="clear" w:color="auto" w:fill="FFFFFF"/>
        </w:rPr>
        <w:t>日</w:t>
      </w:r>
      <w:r>
        <w:rPr>
          <w:rFonts w:ascii="华文楷体" w:eastAsia="华文楷体" w:hAnsi="华文楷体" w:cs="华文楷体" w:hint="eastAsia"/>
          <w:color w:val="000000"/>
          <w:sz w:val="21"/>
          <w:szCs w:val="21"/>
          <w:shd w:val="clear" w:color="auto" w:fill="FFFFFF"/>
        </w:rPr>
        <w:t> </w:t>
      </w:r>
      <w:r>
        <w:rPr>
          <w:rFonts w:ascii="华文楷体" w:eastAsia="华文楷体" w:hAnsi="华文楷体" w:cs="华文楷体" w:hint="eastAsia"/>
          <w:color w:val="000000"/>
          <w:sz w:val="21"/>
          <w:szCs w:val="21"/>
          <w:shd w:val="clear" w:color="auto" w:fill="FFFFFF"/>
        </w:rPr>
        <w:t>来源：</w:t>
      </w:r>
      <w:hyperlink r:id="rId13" w:tgtFrame="http://cpc.people.com.cn/n1/2018/0316/_blank" w:history="1">
        <w:r>
          <w:rPr>
            <w:rStyle w:val="aa"/>
            <w:rFonts w:ascii="华文楷体" w:eastAsia="华文楷体" w:hAnsi="华文楷体" w:cs="华文楷体" w:hint="eastAsia"/>
            <w:color w:val="000000"/>
            <w:sz w:val="21"/>
            <w:szCs w:val="21"/>
            <w:shd w:val="clear" w:color="auto" w:fill="FFFFFF"/>
          </w:rPr>
          <w:t>人民网－人民日报</w:t>
        </w:r>
      </w:hyperlink>
    </w:p>
    <w:p w14:paraId="1FB2B28C" w14:textId="77777777" w:rsidR="00ED5EBF" w:rsidRDefault="002034C8">
      <w:pPr>
        <w:spacing w:line="360" w:lineRule="auto"/>
        <w:jc w:val="center"/>
        <w:rPr>
          <w:rFonts w:ascii="华文楷体" w:eastAsia="华文楷体" w:hAnsi="华文楷体" w:cs="华文楷体"/>
        </w:rPr>
      </w:pPr>
      <w:r>
        <w:rPr>
          <w:rFonts w:ascii="宋体" w:eastAsia="宋体" w:hAnsi="宋体" w:cs="宋体"/>
          <w:noProof/>
        </w:rPr>
        <w:drawing>
          <wp:inline distT="0" distB="0" distL="114300" distR="114300" wp14:anchorId="2089E0CC" wp14:editId="6481B0E6">
            <wp:extent cx="2777490" cy="1909445"/>
            <wp:effectExtent l="0" t="0" r="3810" b="14605"/>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14"/>
                    <a:stretch>
                      <a:fillRect/>
                    </a:stretch>
                  </pic:blipFill>
                  <pic:spPr>
                    <a:xfrm>
                      <a:off x="0" y="0"/>
                      <a:ext cx="2777490" cy="1909445"/>
                    </a:xfrm>
                    <a:prstGeom prst="rect">
                      <a:avLst/>
                    </a:prstGeom>
                    <a:noFill/>
                    <a:ln w="9525">
                      <a:noFill/>
                    </a:ln>
                  </pic:spPr>
                </pic:pic>
              </a:graphicData>
            </a:graphic>
          </wp:inline>
        </w:drawing>
      </w:r>
    </w:p>
    <w:p w14:paraId="257870C4"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15</w:t>
      </w:r>
      <w:r>
        <w:rPr>
          <w:rFonts w:ascii="华文楷体" w:eastAsia="华文楷体" w:hAnsi="华文楷体" w:cs="华文楷体" w:hint="eastAsia"/>
        </w:rPr>
        <w:t>日，中国人民政治协商会议第十三届全国委员会第一次会议在北京闭幕。这是习近平、李克强、张德江、俞正声、张高丽、栗战书、王沪宁、赵乐际、韩正等在主席台就座。</w:t>
      </w:r>
      <w:r>
        <w:rPr>
          <w:rFonts w:ascii="华文楷体" w:eastAsia="华文楷体" w:hAnsi="华文楷体" w:cs="华文楷体" w:hint="eastAsia"/>
        </w:rPr>
        <w:t xml:space="preserve">  </w:t>
      </w:r>
      <w:r>
        <w:rPr>
          <w:rFonts w:ascii="华文楷体" w:eastAsia="华文楷体" w:hAnsi="华文楷体" w:cs="华文楷体" w:hint="eastAsia"/>
        </w:rPr>
        <w:t>新华社记者</w:t>
      </w:r>
      <w:r>
        <w:rPr>
          <w:rFonts w:ascii="华文楷体" w:eastAsia="华文楷体" w:hAnsi="华文楷体" w:cs="华文楷体" w:hint="eastAsia"/>
        </w:rPr>
        <w:t xml:space="preserve"> </w:t>
      </w:r>
      <w:r>
        <w:rPr>
          <w:rFonts w:ascii="华文楷体" w:eastAsia="华文楷体" w:hAnsi="华文楷体" w:cs="华文楷体" w:hint="eastAsia"/>
        </w:rPr>
        <w:t>丁</w:t>
      </w:r>
      <w:r>
        <w:rPr>
          <w:rFonts w:ascii="华文楷体" w:eastAsia="华文楷体" w:hAnsi="华文楷体" w:cs="华文楷体" w:hint="eastAsia"/>
        </w:rPr>
        <w:t xml:space="preserve"> </w:t>
      </w:r>
      <w:r>
        <w:rPr>
          <w:rFonts w:ascii="华文楷体" w:eastAsia="华文楷体" w:hAnsi="华文楷体" w:cs="华文楷体" w:hint="eastAsia"/>
        </w:rPr>
        <w:t>林摄</w:t>
      </w:r>
    </w:p>
    <w:p w14:paraId="188AC2C2" w14:textId="77777777" w:rsidR="00ED5EBF" w:rsidRDefault="002034C8">
      <w:pPr>
        <w:spacing w:line="360" w:lineRule="auto"/>
        <w:ind w:firstLineChars="200" w:firstLine="480"/>
        <w:jc w:val="center"/>
        <w:rPr>
          <w:rFonts w:ascii="华文楷体" w:eastAsia="华文楷体" w:hAnsi="华文楷体" w:cs="华文楷体"/>
        </w:rPr>
      </w:pPr>
      <w:r>
        <w:rPr>
          <w:rFonts w:ascii="宋体" w:eastAsia="宋体" w:hAnsi="宋体" w:cs="宋体"/>
          <w:noProof/>
        </w:rPr>
        <w:drawing>
          <wp:inline distT="0" distB="0" distL="114300" distR="114300" wp14:anchorId="5E6C49A2" wp14:editId="7B51C322">
            <wp:extent cx="2125345" cy="2969895"/>
            <wp:effectExtent l="0" t="0" r="8255" b="1905"/>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15"/>
                    <a:stretch>
                      <a:fillRect/>
                    </a:stretch>
                  </pic:blipFill>
                  <pic:spPr>
                    <a:xfrm>
                      <a:off x="0" y="0"/>
                      <a:ext cx="2125345" cy="2969895"/>
                    </a:xfrm>
                    <a:prstGeom prst="rect">
                      <a:avLst/>
                    </a:prstGeom>
                    <a:noFill/>
                    <a:ln w="9525">
                      <a:noFill/>
                    </a:ln>
                  </pic:spPr>
                </pic:pic>
              </a:graphicData>
            </a:graphic>
          </wp:inline>
        </w:drawing>
      </w:r>
    </w:p>
    <w:p w14:paraId="1E5E3EC1"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15</w:t>
      </w:r>
      <w:r>
        <w:rPr>
          <w:rFonts w:ascii="华文楷体" w:eastAsia="华文楷体" w:hAnsi="华文楷体" w:cs="华文楷体" w:hint="eastAsia"/>
        </w:rPr>
        <w:t>日，中国人民政治协商会议第十三届全国委员会第一次会议在北京闭幕。中共中央政治局常委、全国政协主席汪洋主持闭幕会并讲话。本报记者</w:t>
      </w:r>
      <w:r>
        <w:rPr>
          <w:rFonts w:ascii="华文楷体" w:eastAsia="华文楷体" w:hAnsi="华文楷体" w:cs="华文楷体" w:hint="eastAsia"/>
        </w:rPr>
        <w:t xml:space="preserve"> </w:t>
      </w:r>
      <w:r>
        <w:rPr>
          <w:rFonts w:ascii="华文楷体" w:eastAsia="华文楷体" w:hAnsi="华文楷体" w:cs="华文楷体" w:hint="eastAsia"/>
        </w:rPr>
        <w:t>雷声摄</w:t>
      </w:r>
    </w:p>
    <w:p w14:paraId="209A4762"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lastRenderedPageBreak/>
        <w:t>中国人民政治协商会议第十三届全国委员会第一次会议在圆满完成各项议程后，</w:t>
      </w:r>
      <w:r>
        <w:rPr>
          <w:rFonts w:ascii="华文楷体" w:eastAsia="华文楷体" w:hAnsi="华文楷体" w:cs="华文楷体" w:hint="eastAsia"/>
        </w:rPr>
        <w:t>15</w:t>
      </w:r>
      <w:r>
        <w:rPr>
          <w:rFonts w:ascii="华文楷体" w:eastAsia="华文楷体" w:hAnsi="华文楷体" w:cs="华文楷体" w:hint="eastAsia"/>
        </w:rPr>
        <w:t>日上午在人民大会堂闭幕。会议号召，人民政协各级组织、各参加单位和广大政协委员，更加紧密地团结在以习近平同志为核心的中共中央周围，以习近平新时代中国特色社会主义思想为指导，同心同德、扎实工作，为决胜全面建成小康社会、夺取新时代中国特色社会主义伟大胜利、实现中华民族伟大复兴的中国梦而努力奋斗。</w:t>
      </w:r>
    </w:p>
    <w:p w14:paraId="59B14933" w14:textId="77777777" w:rsidR="00ED5EBF" w:rsidRDefault="00ED5EBF">
      <w:pPr>
        <w:spacing w:line="360" w:lineRule="auto"/>
        <w:ind w:firstLineChars="200" w:firstLine="480"/>
        <w:rPr>
          <w:rFonts w:ascii="华文楷体" w:eastAsia="华文楷体" w:hAnsi="华文楷体" w:cs="华文楷体"/>
        </w:rPr>
      </w:pPr>
    </w:p>
    <w:p w14:paraId="01521820"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会议由中共中央政治局常委、全国政协主席汪洋主持。全国政协副主席张庆黎、刘奇葆、帕巴拉·格列朗杰、董建华、万钢、何厚铧、卢展工、王正伟、马飚、陈晓光、梁振英、夏宝龙、杨传堂、李斌、巴特尔、汪永清、何立峰、苏辉、郑建邦、辜胜阻、刘新成、何维、邵鸿、高云龙在主席台前排就座。</w:t>
      </w:r>
    </w:p>
    <w:p w14:paraId="45743AFF" w14:textId="77777777" w:rsidR="00ED5EBF" w:rsidRDefault="00ED5EBF">
      <w:pPr>
        <w:spacing w:line="360" w:lineRule="auto"/>
        <w:ind w:firstLineChars="200" w:firstLine="480"/>
        <w:rPr>
          <w:rFonts w:ascii="华文楷体" w:eastAsia="华文楷体" w:hAnsi="华文楷体" w:cs="华文楷体"/>
        </w:rPr>
      </w:pPr>
    </w:p>
    <w:p w14:paraId="17082B65"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习近平、李克强、张德江、俞正声、张高丽、栗战书、王沪宁、赵乐际、韩正等在主席台就座。</w:t>
      </w:r>
    </w:p>
    <w:p w14:paraId="2F759011" w14:textId="77777777" w:rsidR="00ED5EBF" w:rsidRDefault="00ED5EBF">
      <w:pPr>
        <w:spacing w:line="360" w:lineRule="auto"/>
        <w:ind w:firstLineChars="200" w:firstLine="480"/>
        <w:rPr>
          <w:rFonts w:ascii="华文楷体" w:eastAsia="华文楷体" w:hAnsi="华文楷体" w:cs="华文楷体"/>
        </w:rPr>
      </w:pPr>
    </w:p>
    <w:p w14:paraId="4C24B5DD"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上午</w:t>
      </w:r>
      <w:r>
        <w:rPr>
          <w:rFonts w:ascii="华文楷体" w:eastAsia="华文楷体" w:hAnsi="华文楷体" w:cs="华文楷体" w:hint="eastAsia"/>
        </w:rPr>
        <w:t>9</w:t>
      </w:r>
      <w:r>
        <w:rPr>
          <w:rFonts w:ascii="华文楷体" w:eastAsia="华文楷体" w:hAnsi="华文楷体" w:cs="华文楷体" w:hint="eastAsia"/>
        </w:rPr>
        <w:t>时</w:t>
      </w:r>
      <w:r>
        <w:rPr>
          <w:rFonts w:ascii="华文楷体" w:eastAsia="华文楷体" w:hAnsi="华文楷体" w:cs="华文楷体" w:hint="eastAsia"/>
        </w:rPr>
        <w:t>30</w:t>
      </w:r>
      <w:r>
        <w:rPr>
          <w:rFonts w:ascii="华文楷体" w:eastAsia="华文楷体" w:hAnsi="华文楷体" w:cs="华文楷体" w:hint="eastAsia"/>
        </w:rPr>
        <w:t>分，闭幕会开始。汪洋宣布，政协第十三届全国委员会第一次会议应出席委员</w:t>
      </w:r>
      <w:r>
        <w:rPr>
          <w:rFonts w:ascii="华文楷体" w:eastAsia="华文楷体" w:hAnsi="华文楷体" w:cs="华文楷体" w:hint="eastAsia"/>
        </w:rPr>
        <w:t>2158</w:t>
      </w:r>
      <w:r>
        <w:rPr>
          <w:rFonts w:ascii="华文楷体" w:eastAsia="华文楷体" w:hAnsi="华文楷体" w:cs="华文楷体" w:hint="eastAsia"/>
        </w:rPr>
        <w:t>人，实到</w:t>
      </w:r>
      <w:r>
        <w:rPr>
          <w:rFonts w:ascii="华文楷体" w:eastAsia="华文楷体" w:hAnsi="华文楷体" w:cs="华文楷体" w:hint="eastAsia"/>
        </w:rPr>
        <w:t>2142</w:t>
      </w:r>
      <w:r>
        <w:rPr>
          <w:rFonts w:ascii="华文楷体" w:eastAsia="华文楷体" w:hAnsi="华文楷体" w:cs="华文楷体" w:hint="eastAsia"/>
        </w:rPr>
        <w:t>人，符合规定人数。</w:t>
      </w:r>
    </w:p>
    <w:p w14:paraId="3761C962" w14:textId="77777777" w:rsidR="00ED5EBF" w:rsidRDefault="00ED5EBF">
      <w:pPr>
        <w:spacing w:line="360" w:lineRule="auto"/>
        <w:ind w:firstLineChars="200" w:firstLine="480"/>
        <w:rPr>
          <w:rFonts w:ascii="华文楷体" w:eastAsia="华文楷体" w:hAnsi="华文楷体" w:cs="华文楷体"/>
        </w:rPr>
      </w:pPr>
    </w:p>
    <w:p w14:paraId="3D77963C"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会议通过了政协第十三届全国</w:t>
      </w:r>
      <w:r>
        <w:rPr>
          <w:rFonts w:ascii="华文楷体" w:eastAsia="华文楷体" w:hAnsi="华文楷体" w:cs="华文楷体" w:hint="eastAsia"/>
        </w:rPr>
        <w:t>委员会第一次会议关于常务委员会工作报告的决议、政协第十三届全国委员会第一次会议关于中国人民政治协商会议章程修正案的决议、政协第十三届全国委员会第一次会议提案审查委员会关于政协十三届一次会议提案审查情况的报告、政协第十三届全国委员会第一次会议政治决</w:t>
      </w:r>
      <w:r>
        <w:rPr>
          <w:rFonts w:ascii="华文楷体" w:eastAsia="华文楷体" w:hAnsi="华文楷体" w:cs="华文楷体" w:hint="eastAsia"/>
        </w:rPr>
        <w:lastRenderedPageBreak/>
        <w:t>议。</w:t>
      </w:r>
    </w:p>
    <w:p w14:paraId="2FCB4946" w14:textId="77777777" w:rsidR="00ED5EBF" w:rsidRDefault="00ED5EBF">
      <w:pPr>
        <w:spacing w:line="360" w:lineRule="auto"/>
        <w:ind w:firstLineChars="200" w:firstLine="480"/>
        <w:rPr>
          <w:rFonts w:ascii="华文楷体" w:eastAsia="华文楷体" w:hAnsi="华文楷体" w:cs="华文楷体"/>
        </w:rPr>
      </w:pPr>
    </w:p>
    <w:p w14:paraId="24C6D53A"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汪洋在讲话中说，政协第十三届全国委员会第一次会议，是在全国各族人民深入学习贯彻习近平新时代中国特色社会主义思想和中共十九大精神，决胜全面建成小康社会、开启全面建设社会主义现代化国家新征程的重要时刻召开的。在中共中央高度重视下，在各有关方面大力支持下，经过全体</w:t>
      </w:r>
      <w:r>
        <w:rPr>
          <w:rFonts w:ascii="华文楷体" w:eastAsia="华文楷体" w:hAnsi="华文楷体" w:cs="华文楷体" w:hint="eastAsia"/>
        </w:rPr>
        <w:t>委员共同努力，圆满完成各项议程。</w:t>
      </w:r>
    </w:p>
    <w:p w14:paraId="7AEEE0E4" w14:textId="77777777" w:rsidR="00ED5EBF" w:rsidRDefault="00ED5EBF">
      <w:pPr>
        <w:spacing w:line="360" w:lineRule="auto"/>
        <w:ind w:firstLineChars="200" w:firstLine="480"/>
        <w:rPr>
          <w:rFonts w:ascii="华文楷体" w:eastAsia="华文楷体" w:hAnsi="华文楷体" w:cs="华文楷体"/>
        </w:rPr>
      </w:pPr>
    </w:p>
    <w:p w14:paraId="39368E54"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汪洋指出，会议期间，中共中央总书记、国家主席、中央军委主席习近平等党和国家领导同志出席大会开幕会和闭幕会，深入到界别小组同委员共商国是。广大委员以高度的政治责任感，深入讨论政府工作报告和其他报告，讨论宪法修正案草案和监察法草案，以及国务院机构改革方案，认真审议全国政协常委会工作报告、政协章程修正案草案等文件，履职建言成果丰硕。这是一次民主、团结、求实、奋进的大会，充分彰显了中国特色社会主义民主政治的生机活力。</w:t>
      </w:r>
    </w:p>
    <w:p w14:paraId="7CFEFDF6" w14:textId="77777777" w:rsidR="00ED5EBF" w:rsidRDefault="00ED5EBF">
      <w:pPr>
        <w:spacing w:line="360" w:lineRule="auto"/>
        <w:ind w:firstLineChars="200" w:firstLine="480"/>
        <w:rPr>
          <w:rFonts w:ascii="华文楷体" w:eastAsia="华文楷体" w:hAnsi="华文楷体" w:cs="华文楷体"/>
        </w:rPr>
      </w:pPr>
    </w:p>
    <w:p w14:paraId="5D61B137"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汪洋说，中国共产党领导的多党合作和政治协商制度是我国的一项基</w:t>
      </w:r>
      <w:r>
        <w:rPr>
          <w:rFonts w:ascii="华文楷体" w:eastAsia="华文楷体" w:hAnsi="华文楷体" w:cs="华文楷体" w:hint="eastAsia"/>
        </w:rPr>
        <w:t>本政治制度，是中国共产党、中国人民和各民主党派、无党派人士的伟大政治创造，是从中国土壤中生长出来的新型政党制度。中国人民政治协商会议这个庄严的名称，清楚地界定了它的性质和作用，必须准确地把握这个名称、这项制度赋予我们的使命。人民政协是政治组织，必须旗帜鲜明讲政治。人民政协是人民民主的重要制度，必须以人民为中心履职尽责。人民政协是专门协商机构，必须求真务实提高协商能力水平。第十三届全国人民代表大会第一次会议已经表决通过中华</w:t>
      </w:r>
      <w:r>
        <w:rPr>
          <w:rFonts w:ascii="华文楷体" w:eastAsia="华文楷体" w:hAnsi="华文楷体" w:cs="华文楷体" w:hint="eastAsia"/>
        </w:rPr>
        <w:lastRenderedPageBreak/>
        <w:t>人民共和国宪法修正案。宪法是国家的根本法，是治国安邦的总章程，是中国共产党和全国人民意志</w:t>
      </w:r>
      <w:r>
        <w:rPr>
          <w:rFonts w:ascii="华文楷体" w:eastAsia="华文楷体" w:hAnsi="华文楷体" w:cs="华文楷体" w:hint="eastAsia"/>
        </w:rPr>
        <w:t>的集中体现。人民政协要坚持一切活动以宪法为根本准则，在宪法和法律范围内履行职责、开展工作，切实增强尊崇宪法、学习宪法、遵守宪法、维护宪法、运用宪法的思想自觉和行动自觉。</w:t>
      </w:r>
    </w:p>
    <w:p w14:paraId="07D865B9" w14:textId="77777777" w:rsidR="00ED5EBF" w:rsidRDefault="00ED5EBF">
      <w:pPr>
        <w:spacing w:line="360" w:lineRule="auto"/>
        <w:ind w:firstLineChars="200" w:firstLine="480"/>
        <w:rPr>
          <w:rFonts w:ascii="华文楷体" w:eastAsia="华文楷体" w:hAnsi="华文楷体" w:cs="华文楷体"/>
        </w:rPr>
      </w:pPr>
    </w:p>
    <w:p w14:paraId="13C31C69"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汪洋说，新时代呼唤新作为，人民政协要以共同目标寻求最大公约数，以大团结大联合画出最大同心圆，以协商民主凝聚强大正能量，以改革创新激发工作新活力，努力把不同党派、不同民族、不同阶层、不同信仰的海内外中华儿女凝聚起来，形成致力于实现祖国统一和中华民族伟大复兴中国梦的最广泛的爱国统一战线。</w:t>
      </w:r>
    </w:p>
    <w:p w14:paraId="3F25B672" w14:textId="77777777" w:rsidR="00ED5EBF" w:rsidRDefault="00ED5EBF">
      <w:pPr>
        <w:spacing w:line="360" w:lineRule="auto"/>
        <w:ind w:firstLineChars="200" w:firstLine="480"/>
        <w:rPr>
          <w:rFonts w:ascii="华文楷体" w:eastAsia="华文楷体" w:hAnsi="华文楷体" w:cs="华文楷体"/>
        </w:rPr>
      </w:pPr>
    </w:p>
    <w:p w14:paraId="24D50623"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出席闭幕会的领导同志还有：丁薛祥、马凯、王晨、刘鹤、</w:t>
      </w:r>
      <w:r>
        <w:rPr>
          <w:rFonts w:ascii="华文楷体" w:eastAsia="华文楷体" w:hAnsi="华文楷体" w:cs="华文楷体" w:hint="eastAsia"/>
        </w:rPr>
        <w:t>刘延东、许其亮、孙春兰、李希、李强、李建国、李鸿忠、李源潮、杨洁篪、杨晓渡、张又侠、陈希、陈全国、陈敏尔、范长龙、胡春华、郭声琨、黄坤明、蔡奇、尤权、王胜俊、陈昌智、严隽琪、沈跃跃、吉炳轩、张平、向巴平措、艾力更·依明巴海、万鄂湘、张宝文、陈竺、常万全、王勇、周强、曹建明、张春贤、杜青林、韩启德、林文漪、罗富和、李海峰、陈元、周小川、王家瑞、齐续春、马培华、刘晓峰、王钦敏等。</w:t>
      </w:r>
    </w:p>
    <w:p w14:paraId="1B593493" w14:textId="77777777" w:rsidR="00ED5EBF" w:rsidRDefault="00ED5EBF">
      <w:pPr>
        <w:spacing w:line="360" w:lineRule="auto"/>
        <w:ind w:firstLineChars="200" w:firstLine="480"/>
        <w:rPr>
          <w:rFonts w:ascii="华文楷体" w:eastAsia="华文楷体" w:hAnsi="华文楷体" w:cs="华文楷体"/>
        </w:rPr>
      </w:pPr>
    </w:p>
    <w:p w14:paraId="4842A64C"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中共中央、国务院有关部门负责人列席闭幕会。各国驻华使节应邀旁听闭幕会。</w:t>
      </w:r>
    </w:p>
    <w:p w14:paraId="3FF2829B" w14:textId="77777777" w:rsidR="00ED5EBF" w:rsidRDefault="00ED5EBF">
      <w:pPr>
        <w:spacing w:line="360" w:lineRule="auto"/>
        <w:ind w:firstLineChars="200" w:firstLine="480"/>
        <w:rPr>
          <w:rFonts w:ascii="华文楷体" w:eastAsia="华文楷体" w:hAnsi="华文楷体" w:cs="华文楷体"/>
        </w:rPr>
      </w:pPr>
    </w:p>
    <w:p w14:paraId="55895BB5"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lastRenderedPageBreak/>
        <w:t>大会在雄壮的国歌声中闭幕。</w:t>
      </w:r>
    </w:p>
    <w:p w14:paraId="11902212" w14:textId="77777777" w:rsidR="00ED5EBF" w:rsidRDefault="00ED5EBF">
      <w:pPr>
        <w:spacing w:line="360" w:lineRule="auto"/>
        <w:ind w:firstLineChars="200" w:firstLine="480"/>
        <w:rPr>
          <w:rFonts w:ascii="华文楷体" w:eastAsia="华文楷体" w:hAnsi="华文楷体" w:cs="华文楷体"/>
        </w:rPr>
      </w:pPr>
    </w:p>
    <w:p w14:paraId="6177D4EB"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闭幕会后，习近平等党和国家领导人与出席会议的全体政协委员合影留念。（新华社北京</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15</w:t>
      </w:r>
      <w:r>
        <w:rPr>
          <w:rFonts w:ascii="华文楷体" w:eastAsia="华文楷体" w:hAnsi="华文楷体" w:cs="华文楷体" w:hint="eastAsia"/>
        </w:rPr>
        <w:t>日电）</w:t>
      </w:r>
    </w:p>
    <w:p w14:paraId="4D30270B" w14:textId="77777777" w:rsidR="00ED5EBF" w:rsidRDefault="00ED5EBF">
      <w:pPr>
        <w:spacing w:line="360" w:lineRule="auto"/>
        <w:ind w:firstLineChars="200" w:firstLine="480"/>
        <w:rPr>
          <w:rFonts w:ascii="华文楷体" w:eastAsia="华文楷体" w:hAnsi="华文楷体" w:cs="华文楷体"/>
        </w:rPr>
      </w:pPr>
    </w:p>
    <w:p w14:paraId="4B56AB82"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w:t>
      </w:r>
      <w:r>
        <w:rPr>
          <w:rFonts w:ascii="华文楷体" w:eastAsia="华文楷体" w:hAnsi="华文楷体" w:cs="华文楷体" w:hint="eastAsia"/>
        </w:rPr>
        <w:t xml:space="preserve"> </w:t>
      </w:r>
      <w:r>
        <w:rPr>
          <w:rFonts w:ascii="华文楷体" w:eastAsia="华文楷体" w:hAnsi="华文楷体" w:cs="华文楷体" w:hint="eastAsia"/>
        </w:rPr>
        <w:t>人民日报</w:t>
      </w:r>
      <w:r>
        <w:rPr>
          <w:rFonts w:ascii="华文楷体" w:eastAsia="华文楷体" w:hAnsi="华文楷体" w:cs="华文楷体" w:hint="eastAsia"/>
        </w:rPr>
        <w:t xml:space="preserve"> </w:t>
      </w:r>
      <w:r>
        <w:rPr>
          <w:rFonts w:ascii="华文楷体" w:eastAsia="华文楷体" w:hAnsi="华文楷体" w:cs="华文楷体" w:hint="eastAsia"/>
        </w:rPr>
        <w:t>》（</w:t>
      </w:r>
      <w:r>
        <w:rPr>
          <w:rFonts w:ascii="华文楷体" w:eastAsia="华文楷体" w:hAnsi="华文楷体" w:cs="华文楷体" w:hint="eastAsia"/>
        </w:rPr>
        <w:t xml:space="preserve"> 2018</w:t>
      </w:r>
      <w:r>
        <w:rPr>
          <w:rFonts w:ascii="华文楷体" w:eastAsia="华文楷体" w:hAnsi="华文楷体" w:cs="华文楷体" w:hint="eastAsia"/>
        </w:rPr>
        <w:t>年</w:t>
      </w:r>
      <w:r>
        <w:rPr>
          <w:rFonts w:ascii="华文楷体" w:eastAsia="华文楷体" w:hAnsi="华文楷体" w:cs="华文楷体" w:hint="eastAsia"/>
        </w:rPr>
        <w:t>03</w:t>
      </w:r>
      <w:r>
        <w:rPr>
          <w:rFonts w:ascii="华文楷体" w:eastAsia="华文楷体" w:hAnsi="华文楷体" w:cs="华文楷体" w:hint="eastAsia"/>
        </w:rPr>
        <w:t>月</w:t>
      </w:r>
      <w:r>
        <w:rPr>
          <w:rFonts w:ascii="华文楷体" w:eastAsia="华文楷体" w:hAnsi="华文楷体" w:cs="华文楷体" w:hint="eastAsia"/>
        </w:rPr>
        <w:t>16</w:t>
      </w:r>
      <w:r>
        <w:rPr>
          <w:rFonts w:ascii="华文楷体" w:eastAsia="华文楷体" w:hAnsi="华文楷体" w:cs="华文楷体" w:hint="eastAsia"/>
        </w:rPr>
        <w:t>日</w:t>
      </w:r>
      <w:r>
        <w:rPr>
          <w:rFonts w:ascii="华文楷体" w:eastAsia="华文楷体" w:hAnsi="华文楷体" w:cs="华文楷体" w:hint="eastAsia"/>
        </w:rPr>
        <w:t xml:space="preserve"> 01 </w:t>
      </w:r>
      <w:r>
        <w:rPr>
          <w:rFonts w:ascii="华文楷体" w:eastAsia="华文楷体" w:hAnsi="华文楷体" w:cs="华文楷体" w:hint="eastAsia"/>
        </w:rPr>
        <w:t>版）</w:t>
      </w:r>
    </w:p>
    <w:p w14:paraId="56FE8440" w14:textId="77777777" w:rsidR="00ED5EBF" w:rsidRDefault="00ED5EBF">
      <w:pPr>
        <w:spacing w:line="360" w:lineRule="auto"/>
        <w:ind w:firstLineChars="200" w:firstLine="480"/>
        <w:rPr>
          <w:rFonts w:ascii="华文楷体" w:eastAsia="华文楷体" w:hAnsi="华文楷体" w:cs="华文楷体"/>
        </w:rPr>
      </w:pPr>
    </w:p>
    <w:p w14:paraId="7D2465E9" w14:textId="77777777" w:rsidR="00ED5EBF" w:rsidRDefault="002034C8">
      <w:pPr>
        <w:spacing w:line="360" w:lineRule="auto"/>
        <w:ind w:firstLineChars="200" w:firstLine="480"/>
        <w:jc w:val="right"/>
        <w:rPr>
          <w:rFonts w:ascii="华文楷体" w:eastAsia="华文楷体" w:hAnsi="华文楷体" w:cs="华文楷体"/>
        </w:rPr>
      </w:pPr>
      <w:r>
        <w:rPr>
          <w:rFonts w:ascii="华文楷体" w:eastAsia="华文楷体" w:hAnsi="华文楷体" w:cs="华文楷体" w:hint="eastAsia"/>
        </w:rPr>
        <w:t>(</w:t>
      </w:r>
      <w:r>
        <w:rPr>
          <w:rFonts w:ascii="华文楷体" w:eastAsia="华文楷体" w:hAnsi="华文楷体" w:cs="华文楷体" w:hint="eastAsia"/>
        </w:rPr>
        <w:t>责编：常雪梅、程宏毅</w:t>
      </w:r>
      <w:r>
        <w:rPr>
          <w:rFonts w:ascii="华文楷体" w:eastAsia="华文楷体" w:hAnsi="华文楷体" w:cs="华文楷体" w:hint="eastAsia"/>
        </w:rPr>
        <w:t>)</w:t>
      </w:r>
    </w:p>
    <w:p w14:paraId="7866939A" w14:textId="77777777" w:rsidR="00ED5EBF" w:rsidRDefault="00ED5EBF">
      <w:pPr>
        <w:spacing w:line="360" w:lineRule="auto"/>
        <w:ind w:firstLineChars="200" w:firstLine="480"/>
        <w:jc w:val="right"/>
        <w:rPr>
          <w:rFonts w:ascii="华文楷体" w:eastAsia="华文楷体" w:hAnsi="华文楷体" w:cs="华文楷体"/>
        </w:rPr>
      </w:pPr>
    </w:p>
    <w:p w14:paraId="123973CF" w14:textId="77777777" w:rsidR="00ED5EBF" w:rsidRDefault="00ED5EBF">
      <w:pPr>
        <w:spacing w:line="360" w:lineRule="auto"/>
        <w:ind w:firstLineChars="200" w:firstLine="480"/>
        <w:jc w:val="right"/>
        <w:rPr>
          <w:rFonts w:ascii="华文楷体" w:eastAsia="华文楷体" w:hAnsi="华文楷体" w:cs="华文楷体"/>
        </w:rPr>
      </w:pPr>
    </w:p>
    <w:p w14:paraId="411C7F3A" w14:textId="77777777" w:rsidR="00ED5EBF" w:rsidRDefault="00ED5EBF">
      <w:pPr>
        <w:spacing w:line="360" w:lineRule="auto"/>
        <w:ind w:firstLineChars="200" w:firstLine="480"/>
        <w:jc w:val="right"/>
        <w:rPr>
          <w:rFonts w:ascii="华文楷体" w:eastAsia="华文楷体" w:hAnsi="华文楷体" w:cs="华文楷体"/>
        </w:rPr>
      </w:pPr>
    </w:p>
    <w:p w14:paraId="7D49A24B" w14:textId="77777777" w:rsidR="00ED5EBF" w:rsidRDefault="00ED5EBF">
      <w:pPr>
        <w:spacing w:line="360" w:lineRule="auto"/>
        <w:ind w:firstLineChars="200" w:firstLine="480"/>
        <w:jc w:val="right"/>
        <w:rPr>
          <w:rFonts w:ascii="华文楷体" w:eastAsia="华文楷体" w:hAnsi="华文楷体" w:cs="华文楷体"/>
        </w:rPr>
      </w:pPr>
    </w:p>
    <w:p w14:paraId="0CE4095E" w14:textId="77777777" w:rsidR="00ED5EBF" w:rsidRDefault="00ED5EBF">
      <w:pPr>
        <w:spacing w:line="360" w:lineRule="auto"/>
        <w:ind w:firstLineChars="200" w:firstLine="480"/>
        <w:jc w:val="right"/>
        <w:rPr>
          <w:rFonts w:ascii="华文楷体" w:eastAsia="华文楷体" w:hAnsi="华文楷体" w:cs="华文楷体"/>
        </w:rPr>
      </w:pPr>
    </w:p>
    <w:p w14:paraId="234800D7" w14:textId="77777777" w:rsidR="00ED5EBF" w:rsidRDefault="00ED5EBF">
      <w:pPr>
        <w:spacing w:line="360" w:lineRule="auto"/>
        <w:ind w:firstLineChars="200" w:firstLine="480"/>
        <w:jc w:val="right"/>
        <w:rPr>
          <w:rFonts w:ascii="华文楷体" w:eastAsia="华文楷体" w:hAnsi="华文楷体" w:cs="华文楷体"/>
        </w:rPr>
      </w:pPr>
    </w:p>
    <w:p w14:paraId="1C54F998" w14:textId="77777777" w:rsidR="00ED5EBF" w:rsidRDefault="00ED5EBF">
      <w:pPr>
        <w:spacing w:line="360" w:lineRule="auto"/>
        <w:ind w:firstLineChars="200" w:firstLine="480"/>
        <w:jc w:val="right"/>
        <w:rPr>
          <w:rFonts w:ascii="华文楷体" w:eastAsia="华文楷体" w:hAnsi="华文楷体" w:cs="华文楷体"/>
        </w:rPr>
      </w:pPr>
    </w:p>
    <w:p w14:paraId="02F80C9F" w14:textId="77777777" w:rsidR="00ED5EBF" w:rsidRDefault="00ED5EBF">
      <w:pPr>
        <w:spacing w:line="360" w:lineRule="auto"/>
        <w:ind w:firstLineChars="200" w:firstLine="480"/>
        <w:jc w:val="right"/>
        <w:rPr>
          <w:rFonts w:ascii="华文楷体" w:eastAsia="华文楷体" w:hAnsi="华文楷体" w:cs="华文楷体"/>
        </w:rPr>
      </w:pPr>
    </w:p>
    <w:p w14:paraId="0108DF6C" w14:textId="77777777" w:rsidR="00ED5EBF" w:rsidRDefault="00ED5EBF">
      <w:pPr>
        <w:spacing w:line="360" w:lineRule="auto"/>
        <w:ind w:firstLineChars="200" w:firstLine="480"/>
        <w:jc w:val="right"/>
        <w:rPr>
          <w:rFonts w:ascii="华文楷体" w:eastAsia="华文楷体" w:hAnsi="华文楷体" w:cs="华文楷体"/>
        </w:rPr>
      </w:pPr>
    </w:p>
    <w:p w14:paraId="4C6FD36E" w14:textId="77777777" w:rsidR="00ED5EBF" w:rsidRDefault="00ED5EBF">
      <w:pPr>
        <w:spacing w:line="360" w:lineRule="auto"/>
        <w:ind w:firstLineChars="200" w:firstLine="480"/>
        <w:jc w:val="right"/>
        <w:rPr>
          <w:rFonts w:ascii="华文楷体" w:eastAsia="华文楷体" w:hAnsi="华文楷体" w:cs="华文楷体"/>
        </w:rPr>
      </w:pPr>
    </w:p>
    <w:p w14:paraId="790EFF57" w14:textId="77777777" w:rsidR="00ED5EBF" w:rsidRDefault="00ED5EBF">
      <w:pPr>
        <w:spacing w:line="360" w:lineRule="auto"/>
        <w:ind w:firstLineChars="200" w:firstLine="480"/>
        <w:jc w:val="right"/>
        <w:rPr>
          <w:rFonts w:ascii="华文楷体" w:eastAsia="华文楷体" w:hAnsi="华文楷体" w:cs="华文楷体"/>
        </w:rPr>
      </w:pPr>
    </w:p>
    <w:p w14:paraId="4F669847" w14:textId="77777777" w:rsidR="00ED5EBF" w:rsidRDefault="00ED5EBF">
      <w:pPr>
        <w:spacing w:line="360" w:lineRule="auto"/>
        <w:ind w:firstLineChars="200" w:firstLine="480"/>
        <w:jc w:val="right"/>
        <w:rPr>
          <w:rFonts w:ascii="华文楷体" w:eastAsia="华文楷体" w:hAnsi="华文楷体" w:cs="华文楷体"/>
        </w:rPr>
      </w:pPr>
    </w:p>
    <w:p w14:paraId="2DECB662" w14:textId="77777777" w:rsidR="00ED5EBF" w:rsidRDefault="00ED5EBF">
      <w:pPr>
        <w:spacing w:line="360" w:lineRule="auto"/>
        <w:ind w:firstLineChars="200" w:firstLine="480"/>
        <w:jc w:val="right"/>
        <w:rPr>
          <w:rFonts w:ascii="华文楷体" w:eastAsia="华文楷体" w:hAnsi="华文楷体" w:cs="华文楷体"/>
        </w:rPr>
      </w:pPr>
    </w:p>
    <w:p w14:paraId="6D1D983A" w14:textId="77777777" w:rsidR="00ED5EBF" w:rsidRDefault="00ED5EBF">
      <w:pPr>
        <w:spacing w:line="360" w:lineRule="auto"/>
        <w:ind w:firstLineChars="200" w:firstLine="480"/>
        <w:jc w:val="right"/>
        <w:rPr>
          <w:rFonts w:ascii="华文楷体" w:eastAsia="华文楷体" w:hAnsi="华文楷体" w:cs="华文楷体"/>
        </w:rPr>
      </w:pPr>
    </w:p>
    <w:p w14:paraId="2365E5FA" w14:textId="77777777" w:rsidR="00ED5EBF" w:rsidRDefault="002034C8">
      <w:pPr>
        <w:spacing w:line="360" w:lineRule="auto"/>
        <w:ind w:firstLineChars="200" w:firstLine="480"/>
        <w:jc w:val="center"/>
        <w:rPr>
          <w:rFonts w:ascii="华文中宋" w:eastAsia="华文中宋" w:hAnsi="华文中宋" w:cs="华文中宋"/>
          <w:b/>
          <w:bCs/>
        </w:rPr>
      </w:pPr>
      <w:bookmarkStart w:id="14" w:name="中华人民共和国宪法修正案"/>
      <w:r>
        <w:rPr>
          <w:rFonts w:ascii="华文中宋" w:eastAsia="华文中宋" w:hAnsi="华文中宋" w:cs="华文中宋" w:hint="eastAsia"/>
          <w:b/>
          <w:bCs/>
        </w:rPr>
        <w:lastRenderedPageBreak/>
        <w:t>中华人民共和国宪法修正案</w:t>
      </w:r>
      <w:bookmarkEnd w:id="14"/>
    </w:p>
    <w:p w14:paraId="173479DF"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w:t>
      </w:r>
      <w:r>
        <w:rPr>
          <w:rFonts w:ascii="华文楷体" w:eastAsia="华文楷体" w:hAnsi="华文楷体" w:cs="华文楷体" w:hint="eastAsia"/>
        </w:rPr>
        <w:t>2018</w:t>
      </w:r>
      <w:r>
        <w:rPr>
          <w:rFonts w:ascii="华文楷体" w:eastAsia="华文楷体" w:hAnsi="华文楷体" w:cs="华文楷体" w:hint="eastAsia"/>
        </w:rPr>
        <w:t>年</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11</w:t>
      </w:r>
      <w:r>
        <w:rPr>
          <w:rFonts w:ascii="华文楷体" w:eastAsia="华文楷体" w:hAnsi="华文楷体" w:cs="华文楷体" w:hint="eastAsia"/>
        </w:rPr>
        <w:t>日第十三届全国人民代表大会第一次会议通过）</w:t>
      </w:r>
    </w:p>
    <w:p w14:paraId="53340F84" w14:textId="77777777" w:rsidR="00ED5EBF" w:rsidRDefault="002034C8">
      <w:pPr>
        <w:spacing w:line="360" w:lineRule="auto"/>
        <w:ind w:firstLineChars="200" w:firstLine="420"/>
        <w:jc w:val="center"/>
        <w:rPr>
          <w:rFonts w:ascii="华文楷体" w:eastAsia="华文楷体" w:hAnsi="华文楷体" w:cs="华文楷体"/>
          <w:sz w:val="21"/>
          <w:szCs w:val="21"/>
        </w:rPr>
      </w:pPr>
      <w:r>
        <w:rPr>
          <w:rFonts w:ascii="华文楷体" w:eastAsia="华文楷体" w:hAnsi="华文楷体" w:cs="华文楷体" w:hint="eastAsia"/>
          <w:sz w:val="21"/>
          <w:szCs w:val="21"/>
        </w:rPr>
        <w:t>日期：</w:t>
      </w:r>
      <w:r>
        <w:rPr>
          <w:rFonts w:ascii="华文楷体" w:eastAsia="华文楷体" w:hAnsi="华文楷体" w:cs="华文楷体" w:hint="eastAsia"/>
          <w:sz w:val="21"/>
          <w:szCs w:val="21"/>
        </w:rPr>
        <w:t>2018-03-1</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来源：《人民日报》</w:t>
      </w:r>
    </w:p>
    <w:p w14:paraId="0F441AF1" w14:textId="77777777" w:rsidR="00ED5EBF" w:rsidRDefault="00ED5EBF">
      <w:pPr>
        <w:spacing w:line="360" w:lineRule="auto"/>
        <w:ind w:firstLineChars="200" w:firstLine="420"/>
        <w:jc w:val="center"/>
        <w:rPr>
          <w:rFonts w:ascii="华文楷体" w:eastAsia="华文楷体" w:hAnsi="华文楷体" w:cs="华文楷体"/>
          <w:b/>
          <w:bCs/>
          <w:sz w:val="21"/>
          <w:szCs w:val="21"/>
        </w:rPr>
      </w:pPr>
    </w:p>
    <w:p w14:paraId="42CA36D0" w14:textId="77777777" w:rsidR="00ED5EBF" w:rsidRDefault="002034C8">
      <w:pPr>
        <w:spacing w:line="360" w:lineRule="auto"/>
        <w:ind w:firstLineChars="200" w:firstLine="480"/>
        <w:jc w:val="center"/>
        <w:rPr>
          <w:rFonts w:ascii="华文楷体" w:eastAsia="华文楷体" w:hAnsi="华文楷体" w:cs="华文楷体"/>
        </w:rPr>
      </w:pPr>
      <w:r>
        <w:rPr>
          <w:rFonts w:ascii="华文楷体" w:eastAsia="华文楷体" w:hAnsi="华文楷体" w:cs="华文楷体" w:hint="eastAsia"/>
          <w:b/>
          <w:bCs/>
        </w:rPr>
        <w:t>中华人民共和国全国人民代表大会公告</w:t>
      </w:r>
    </w:p>
    <w:p w14:paraId="62A5AA4B" w14:textId="77777777" w:rsidR="00ED5EBF" w:rsidRDefault="002034C8">
      <w:pPr>
        <w:spacing w:line="360" w:lineRule="auto"/>
        <w:ind w:firstLineChars="200" w:firstLine="480"/>
        <w:jc w:val="center"/>
        <w:rPr>
          <w:rFonts w:ascii="华文楷体" w:eastAsia="华文楷体" w:hAnsi="华文楷体" w:cs="华文楷体"/>
          <w:b/>
          <w:bCs/>
        </w:rPr>
      </w:pPr>
      <w:r>
        <w:rPr>
          <w:rFonts w:ascii="华文楷体" w:eastAsia="华文楷体" w:hAnsi="华文楷体" w:cs="华文楷体" w:hint="eastAsia"/>
          <w:b/>
          <w:bCs/>
        </w:rPr>
        <w:t>第一号</w:t>
      </w:r>
    </w:p>
    <w:p w14:paraId="0882EC32" w14:textId="77777777" w:rsidR="00ED5EBF" w:rsidRDefault="00ED5EBF">
      <w:pPr>
        <w:spacing w:line="360" w:lineRule="auto"/>
        <w:ind w:firstLineChars="200" w:firstLine="480"/>
        <w:rPr>
          <w:rFonts w:ascii="华文楷体" w:eastAsia="华文楷体" w:hAnsi="华文楷体" w:cs="华文楷体"/>
        </w:rPr>
      </w:pPr>
    </w:p>
    <w:p w14:paraId="21ABF1B0"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中华人民共和国宪法修正案已由中华人民共和国第十三届全国人民代表大会第一次会议于</w:t>
      </w:r>
      <w:r>
        <w:rPr>
          <w:rFonts w:ascii="华文楷体" w:eastAsia="华文楷体" w:hAnsi="华文楷体" w:cs="华文楷体" w:hint="eastAsia"/>
        </w:rPr>
        <w:t>2018</w:t>
      </w:r>
      <w:r>
        <w:rPr>
          <w:rFonts w:ascii="华文楷体" w:eastAsia="华文楷体" w:hAnsi="华文楷体" w:cs="华文楷体" w:hint="eastAsia"/>
        </w:rPr>
        <w:t>年</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11</w:t>
      </w:r>
      <w:r>
        <w:rPr>
          <w:rFonts w:ascii="华文楷体" w:eastAsia="华文楷体" w:hAnsi="华文楷体" w:cs="华文楷体" w:hint="eastAsia"/>
        </w:rPr>
        <w:t>日通过，现予公布施行。</w:t>
      </w:r>
    </w:p>
    <w:p w14:paraId="5C63B744" w14:textId="77777777" w:rsidR="00ED5EBF" w:rsidRDefault="00ED5EBF">
      <w:pPr>
        <w:spacing w:line="360" w:lineRule="auto"/>
        <w:ind w:firstLineChars="200" w:firstLine="480"/>
        <w:jc w:val="right"/>
        <w:rPr>
          <w:rFonts w:ascii="华文楷体" w:eastAsia="华文楷体" w:hAnsi="华文楷体" w:cs="华文楷体"/>
        </w:rPr>
      </w:pPr>
    </w:p>
    <w:p w14:paraId="787A8CBB" w14:textId="77777777" w:rsidR="00ED5EBF" w:rsidRDefault="002034C8">
      <w:pPr>
        <w:spacing w:line="360" w:lineRule="auto"/>
        <w:ind w:firstLineChars="200" w:firstLine="480"/>
        <w:jc w:val="right"/>
        <w:rPr>
          <w:rFonts w:ascii="华文楷体" w:eastAsia="华文楷体" w:hAnsi="华文楷体" w:cs="华文楷体"/>
        </w:rPr>
      </w:pPr>
      <w:r>
        <w:rPr>
          <w:rFonts w:ascii="华文楷体" w:eastAsia="华文楷体" w:hAnsi="华文楷体" w:cs="华文楷体" w:hint="eastAsia"/>
        </w:rPr>
        <w:t>中华人民共和国第十三届全国</w:t>
      </w:r>
    </w:p>
    <w:p w14:paraId="1075EAC2" w14:textId="77777777" w:rsidR="00ED5EBF" w:rsidRDefault="002034C8">
      <w:pPr>
        <w:spacing w:line="360" w:lineRule="auto"/>
        <w:ind w:firstLineChars="200" w:firstLine="480"/>
        <w:jc w:val="right"/>
        <w:rPr>
          <w:rFonts w:ascii="华文楷体" w:eastAsia="华文楷体" w:hAnsi="华文楷体" w:cs="华文楷体"/>
        </w:rPr>
      </w:pPr>
      <w:r>
        <w:rPr>
          <w:rFonts w:ascii="华文楷体" w:eastAsia="华文楷体" w:hAnsi="华文楷体" w:cs="华文楷体" w:hint="eastAsia"/>
        </w:rPr>
        <w:t>人民代表大会第一次会议主席团</w:t>
      </w:r>
    </w:p>
    <w:p w14:paraId="16BBBBAB" w14:textId="77777777" w:rsidR="00ED5EBF" w:rsidRDefault="002034C8">
      <w:pPr>
        <w:spacing w:line="360" w:lineRule="auto"/>
        <w:ind w:firstLineChars="200" w:firstLine="480"/>
        <w:jc w:val="right"/>
        <w:rPr>
          <w:rFonts w:ascii="华文楷体" w:eastAsia="华文楷体" w:hAnsi="华文楷体" w:cs="华文楷体"/>
        </w:rPr>
      </w:pPr>
      <w:r>
        <w:rPr>
          <w:rFonts w:ascii="华文楷体" w:eastAsia="华文楷体" w:hAnsi="华文楷体" w:cs="华文楷体" w:hint="eastAsia"/>
        </w:rPr>
        <w:t>2018</w:t>
      </w:r>
      <w:r>
        <w:rPr>
          <w:rFonts w:ascii="华文楷体" w:eastAsia="华文楷体" w:hAnsi="华文楷体" w:cs="华文楷体" w:hint="eastAsia"/>
        </w:rPr>
        <w:t>年</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11</w:t>
      </w:r>
      <w:r>
        <w:rPr>
          <w:rFonts w:ascii="华文楷体" w:eastAsia="华文楷体" w:hAnsi="华文楷体" w:cs="华文楷体" w:hint="eastAsia"/>
        </w:rPr>
        <w:t>日于北京</w:t>
      </w:r>
    </w:p>
    <w:p w14:paraId="3B1B4286" w14:textId="77777777" w:rsidR="00ED5EBF" w:rsidRDefault="00ED5EBF">
      <w:pPr>
        <w:spacing w:line="360" w:lineRule="auto"/>
        <w:rPr>
          <w:rFonts w:ascii="华文楷体" w:eastAsia="华文楷体" w:hAnsi="华文楷体" w:cs="华文楷体"/>
        </w:rPr>
      </w:pPr>
    </w:p>
    <w:p w14:paraId="1FD3D963"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第三十二条</w:t>
      </w:r>
      <w:r>
        <w:rPr>
          <w:rFonts w:ascii="华文楷体" w:eastAsia="华文楷体" w:hAnsi="华文楷体" w:cs="华文楷体" w:hint="eastAsia"/>
        </w:rPr>
        <w:t xml:space="preserve">  </w:t>
      </w:r>
      <w:r>
        <w:rPr>
          <w:rFonts w:ascii="华文楷体" w:eastAsia="华文楷体" w:hAnsi="华文楷体" w:cs="华文楷体" w:hint="eastAsia"/>
        </w:rPr>
        <w:t>宪法序言第七自然段中“在马克思列宁主义、毛泽东思想、邓小平理论和‘三个代表’重要思想指引下”修改为“在马克思列宁主义、毛泽东思想、邓小平理论、‘三个代表’重要思想、科学发展观、习近平新时代中国特色社会主义思想指引下”；“健全社会主义法制”修改为“健全社会主义法治”；在“自力更生，艰苦奋斗”前增写“贯彻新发展理念”；“推动物质文明、政治文明和精神文明协调发展，把我国建设成为富强、民主、文明的社会主义</w:t>
      </w:r>
      <w:r>
        <w:rPr>
          <w:rFonts w:ascii="华文楷体" w:eastAsia="华文楷体" w:hAnsi="华文楷体" w:cs="华文楷体" w:hint="eastAsia"/>
        </w:rPr>
        <w:t>国家”修改为“推动物质文明、政治文明、精神文明、社会文明、生态文明协调发展，把我国建设成为富强民主文明和谐美丽的社会主义现代化强国，实现中华民族伟大复兴”。这一自然段相应修改为：“中国新民主主义革命的胜利和社会主义事业的成就，是中国共产党</w:t>
      </w:r>
      <w:r>
        <w:rPr>
          <w:rFonts w:ascii="华文楷体" w:eastAsia="华文楷体" w:hAnsi="华文楷体" w:cs="华文楷体" w:hint="eastAsia"/>
        </w:rPr>
        <w:lastRenderedPageBreak/>
        <w:t>领导中国各族人民，在马克思列宁主义、毛泽东思想的指引下，坚持真理，修正错误，战胜许多艰难险阻而取得的。我国将长期处于社会主义初级阶段。国家的根本任务是，沿着中国特色社会主义道路，集中力量进行社会主义现代化建设。中国各族人民将继续在中国共产党领导下，在马克思列宁主义、毛泽东思</w:t>
      </w:r>
      <w:r>
        <w:rPr>
          <w:rFonts w:ascii="华文楷体" w:eastAsia="华文楷体" w:hAnsi="华文楷体" w:cs="华文楷体" w:hint="eastAsia"/>
        </w:rPr>
        <w:t>想、邓小平理论、‘三个代表’重要思想、科学发展观、习近平新时代中国特色社会主义思想指引下，坚持人民民主专政，坚持社会主义道路，坚持改革开放，不断完善社会主义的各项制度，发展社会主义市场经济，发展社会主义民主，健全社会主义法治，贯彻新发展理念，自力更生，艰苦奋斗，逐步实现工业、农业、国防和科学技术的现代化，推动物质文明、政治文明、精神文明、社会文明、生态文明协调发展，把我国建设成为富强民主文明和谐美丽的社会主义现代化强国，实现中华民族伟大复兴。”</w:t>
      </w:r>
    </w:p>
    <w:p w14:paraId="1D47621D" w14:textId="77777777" w:rsidR="00ED5EBF" w:rsidRDefault="00ED5EBF">
      <w:pPr>
        <w:spacing w:line="360" w:lineRule="auto"/>
        <w:rPr>
          <w:rFonts w:ascii="华文楷体" w:eastAsia="华文楷体" w:hAnsi="华文楷体" w:cs="华文楷体"/>
        </w:rPr>
      </w:pPr>
    </w:p>
    <w:p w14:paraId="568BC062"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第三十三条</w:t>
      </w:r>
      <w:r>
        <w:rPr>
          <w:rFonts w:ascii="华文楷体" w:eastAsia="华文楷体" w:hAnsi="华文楷体" w:cs="华文楷体" w:hint="eastAsia"/>
        </w:rPr>
        <w:t xml:space="preserve">  </w:t>
      </w:r>
      <w:r>
        <w:rPr>
          <w:rFonts w:ascii="华文楷体" w:eastAsia="华文楷体" w:hAnsi="华文楷体" w:cs="华文楷体" w:hint="eastAsia"/>
        </w:rPr>
        <w:t>宪法序言第十自然段中“在长期的革命和建设过</w:t>
      </w:r>
      <w:r>
        <w:rPr>
          <w:rFonts w:ascii="华文楷体" w:eastAsia="华文楷体" w:hAnsi="华文楷体" w:cs="华文楷体" w:hint="eastAsia"/>
        </w:rPr>
        <w:t>程中”修改为“在长期的革命、建设、改革过程中”；“包括全体社会主义劳动者、社会主义事业的建设者、拥护社会主义的爱国者和拥护祖国统一的爱国者的广泛的爱国统一战线”修改为“包括全体社会主义劳动者、社会主义事业的建设者、拥护社会主义的爱国者、拥护祖国统一和致力于中华民族伟大复兴的爱国者的广泛的爱国统一战线”。这一自然段相应修改为：“社会主义的建设事业必须依靠工人、农民和知识分子，团结一切可以团结的力量。在长期的革命、建设、改革过程中，已经结成由中国共产党领导的，有各民主党派和各人民团体参加的，包括全体社会主义劳动</w:t>
      </w:r>
      <w:r>
        <w:rPr>
          <w:rFonts w:ascii="华文楷体" w:eastAsia="华文楷体" w:hAnsi="华文楷体" w:cs="华文楷体" w:hint="eastAsia"/>
        </w:rPr>
        <w:t>者、社会主义事业的建设者、拥护社会主义的爱国者、拥护祖国统一和致力于中华民族伟大复兴的爱国者的广泛的爱国统一战线，这个统一战线将继续巩固</w:t>
      </w:r>
      <w:r>
        <w:rPr>
          <w:rFonts w:ascii="华文楷体" w:eastAsia="华文楷体" w:hAnsi="华文楷体" w:cs="华文楷体" w:hint="eastAsia"/>
        </w:rPr>
        <w:lastRenderedPageBreak/>
        <w:t>和发展。中国人民政治协商会议是有广泛代表性的统一战线组织，过去发挥了重要的历史作用，今后在国家政治生活、社会生活和对外友好活动中，在进行社会主义现代化建设、维护国家的统一和团结的斗争中，将进一步发挥它的重要作用。中国共产党领导的多党合作和政治协商制度将长期存在和发展。”</w:t>
      </w:r>
    </w:p>
    <w:p w14:paraId="4A60653D" w14:textId="77777777" w:rsidR="00ED5EBF" w:rsidRDefault="00ED5EBF">
      <w:pPr>
        <w:spacing w:line="360" w:lineRule="auto"/>
        <w:rPr>
          <w:rFonts w:ascii="华文楷体" w:eastAsia="华文楷体" w:hAnsi="华文楷体" w:cs="华文楷体"/>
        </w:rPr>
      </w:pPr>
    </w:p>
    <w:p w14:paraId="6F18B5BD"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第三十四条</w:t>
      </w:r>
      <w:r>
        <w:rPr>
          <w:rFonts w:ascii="华文楷体" w:eastAsia="华文楷体" w:hAnsi="华文楷体" w:cs="华文楷体" w:hint="eastAsia"/>
        </w:rPr>
        <w:t xml:space="preserve">  </w:t>
      </w:r>
      <w:r>
        <w:rPr>
          <w:rFonts w:ascii="华文楷体" w:eastAsia="华文楷体" w:hAnsi="华文楷体" w:cs="华文楷体" w:hint="eastAsia"/>
        </w:rPr>
        <w:t>宪法序言第十一自然段中“平等、团结、互助的社会主义民族关系已经确立，并将继续加强。”</w:t>
      </w:r>
      <w:r>
        <w:rPr>
          <w:rFonts w:ascii="华文楷体" w:eastAsia="华文楷体" w:hAnsi="华文楷体" w:cs="华文楷体" w:hint="eastAsia"/>
        </w:rPr>
        <w:t>修改为：“平等团结互助和谐的社会主义民族关系已经确立，并将继续加强。”</w:t>
      </w:r>
    </w:p>
    <w:p w14:paraId="22011909" w14:textId="77777777" w:rsidR="00ED5EBF" w:rsidRDefault="00ED5EBF">
      <w:pPr>
        <w:spacing w:line="360" w:lineRule="auto"/>
        <w:rPr>
          <w:rFonts w:ascii="华文楷体" w:eastAsia="华文楷体" w:hAnsi="华文楷体" w:cs="华文楷体"/>
        </w:rPr>
      </w:pPr>
    </w:p>
    <w:p w14:paraId="1F2A2E09"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第三十五条</w:t>
      </w:r>
      <w:r>
        <w:rPr>
          <w:rFonts w:ascii="华文楷体" w:eastAsia="华文楷体" w:hAnsi="华文楷体" w:cs="华文楷体" w:hint="eastAsia"/>
        </w:rPr>
        <w:t xml:space="preserve">  </w:t>
      </w:r>
      <w:r>
        <w:rPr>
          <w:rFonts w:ascii="华文楷体" w:eastAsia="华文楷体" w:hAnsi="华文楷体" w:cs="华文楷体" w:hint="eastAsia"/>
        </w:rPr>
        <w:t>宪法序言第十二自然段中“中国革命和建设的成就是同世界人民的支持分不开的”修改为“中国革命、建设、改革的成就是同世界人民的支持分不开的”；“中国坚持独立自主的对外政策，坚持互相尊重主权和领土完整、互不侵犯、互不干涉内政、平等互利、和平共处的五项原则”后增加“坚持和平发展道路，坚持互利共赢开放战略”；“发展同各国的外交关系和经济、文化的交流”修改为“发展同各国的外交关系和经济、文化交流，推动构建人类命运共同体”。这一自然</w:t>
      </w:r>
      <w:r>
        <w:rPr>
          <w:rFonts w:ascii="华文楷体" w:eastAsia="华文楷体" w:hAnsi="华文楷体" w:cs="华文楷体" w:hint="eastAsia"/>
        </w:rPr>
        <w:t>段相应修改为：“中国革命、建设、改革的成就是同世界人民的支持分不开的。中国的前途是同世界的前途紧密地联系在一起的。中国坚持独立自主的对外政策，坚持互相尊重主权和领土完整、互不侵犯、互不干涉内政、平等互利、和平共处的五项原则，坚持和平发展道路，坚持互利共赢开放战略，发展同各国的外交关系和经济、文化交流，推动构建人类命运共同体；坚持反对帝国主义、霸权主义、殖民主义，加强同世界各国人民的团结，支持被压迫民族和发展中国家争取和维护民族独立、发展民族经济的正义斗争，为维护世界和平和促进人类</w:t>
      </w:r>
      <w:r>
        <w:rPr>
          <w:rFonts w:ascii="华文楷体" w:eastAsia="华文楷体" w:hAnsi="华文楷体" w:cs="华文楷体" w:hint="eastAsia"/>
        </w:rPr>
        <w:lastRenderedPageBreak/>
        <w:t>进步事业而努力。”</w:t>
      </w:r>
    </w:p>
    <w:p w14:paraId="3034D8DA" w14:textId="77777777" w:rsidR="00ED5EBF" w:rsidRDefault="00ED5EBF">
      <w:pPr>
        <w:spacing w:line="360" w:lineRule="auto"/>
        <w:rPr>
          <w:rFonts w:ascii="华文楷体" w:eastAsia="华文楷体" w:hAnsi="华文楷体" w:cs="华文楷体"/>
        </w:rPr>
      </w:pPr>
    </w:p>
    <w:p w14:paraId="766FE4E8"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w:t>
      </w:r>
      <w:r>
        <w:rPr>
          <w:rFonts w:ascii="华文楷体" w:eastAsia="华文楷体" w:hAnsi="华文楷体" w:cs="华文楷体" w:hint="eastAsia"/>
        </w:rPr>
        <w:t>三十六条</w:t>
      </w:r>
      <w:r>
        <w:rPr>
          <w:rFonts w:ascii="华文楷体" w:eastAsia="华文楷体" w:hAnsi="华文楷体" w:cs="华文楷体" w:hint="eastAsia"/>
        </w:rPr>
        <w:t xml:space="preserve">  </w:t>
      </w:r>
      <w:r>
        <w:rPr>
          <w:rFonts w:ascii="华文楷体" w:eastAsia="华文楷体" w:hAnsi="华文楷体" w:cs="华文楷体" w:hint="eastAsia"/>
        </w:rPr>
        <w:t>宪法第一条第二款“社会主义制度是中华人民共和国的根本制度。”后增写一句，内容为：“中国共产党领导是中国特色社会主义最本质的特征。”</w:t>
      </w:r>
    </w:p>
    <w:p w14:paraId="3DAD7D96" w14:textId="77777777" w:rsidR="00ED5EBF" w:rsidRDefault="00ED5EBF">
      <w:pPr>
        <w:spacing w:line="360" w:lineRule="auto"/>
        <w:rPr>
          <w:rFonts w:ascii="华文楷体" w:eastAsia="华文楷体" w:hAnsi="华文楷体" w:cs="华文楷体"/>
        </w:rPr>
      </w:pPr>
    </w:p>
    <w:p w14:paraId="43B7AD26"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第三十七条</w:t>
      </w:r>
      <w:r>
        <w:rPr>
          <w:rFonts w:ascii="华文楷体" w:eastAsia="华文楷体" w:hAnsi="华文楷体" w:cs="华文楷体" w:hint="eastAsia"/>
        </w:rPr>
        <w:t xml:space="preserve">  </w:t>
      </w:r>
      <w:r>
        <w:rPr>
          <w:rFonts w:ascii="华文楷体" w:eastAsia="华文楷体" w:hAnsi="华文楷体" w:cs="华文楷体" w:hint="eastAsia"/>
        </w:rPr>
        <w:t>宪法第三条第三款“国家行政机关、审判机关、检察机关都由人民代表大会产生，对它负责，受它监督。”修改为：“国家行政机关、监察机关、审判机关、检察机关都由人民代表大会产生，对它负责，受它监督。”</w:t>
      </w:r>
    </w:p>
    <w:p w14:paraId="787A537B" w14:textId="77777777" w:rsidR="00ED5EBF" w:rsidRDefault="00ED5EBF">
      <w:pPr>
        <w:spacing w:line="360" w:lineRule="auto"/>
        <w:rPr>
          <w:rFonts w:ascii="华文楷体" w:eastAsia="华文楷体" w:hAnsi="华文楷体" w:cs="华文楷体"/>
        </w:rPr>
      </w:pPr>
    </w:p>
    <w:p w14:paraId="07E19D3C"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第三十八条</w:t>
      </w:r>
      <w:r>
        <w:rPr>
          <w:rFonts w:ascii="华文楷体" w:eastAsia="华文楷体" w:hAnsi="华文楷体" w:cs="华文楷体" w:hint="eastAsia"/>
        </w:rPr>
        <w:t xml:space="preserve">  </w:t>
      </w:r>
      <w:r>
        <w:rPr>
          <w:rFonts w:ascii="华文楷体" w:eastAsia="华文楷体" w:hAnsi="华文楷体" w:cs="华文楷体" w:hint="eastAsia"/>
        </w:rPr>
        <w:t>宪法第四条第一款中“国家保障各少数民族的合法的权利和利益，维护和发展各民族的平等、团结、互助关系。”修改为：“国家保障各少数民族的合法的权利和利益，维护和发展各民族的平等团结互助和谐关系。”</w:t>
      </w:r>
    </w:p>
    <w:p w14:paraId="7559AA89" w14:textId="77777777" w:rsidR="00ED5EBF" w:rsidRDefault="00ED5EBF">
      <w:pPr>
        <w:spacing w:line="360" w:lineRule="auto"/>
        <w:rPr>
          <w:rFonts w:ascii="华文楷体" w:eastAsia="华文楷体" w:hAnsi="华文楷体" w:cs="华文楷体"/>
        </w:rPr>
      </w:pPr>
    </w:p>
    <w:p w14:paraId="0BF03C43"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第三十九条</w:t>
      </w:r>
      <w:r>
        <w:rPr>
          <w:rFonts w:ascii="华文楷体" w:eastAsia="华文楷体" w:hAnsi="华文楷体" w:cs="华文楷体" w:hint="eastAsia"/>
        </w:rPr>
        <w:t xml:space="preserve">  </w:t>
      </w:r>
      <w:r>
        <w:rPr>
          <w:rFonts w:ascii="华文楷体" w:eastAsia="华文楷体" w:hAnsi="华文楷体" w:cs="华文楷体" w:hint="eastAsia"/>
        </w:rPr>
        <w:t>宪法第二十四条第二款中“国家提倡爱祖国、爱人民、爱劳动、爱科学、爱社会主义的公德”修改为“国家倡导社会主义核心价值观，提倡爱祖国、爱人民、爱劳动、爱科学、爱社会主义的公德”。这一款相应修改为：“国家倡导社会主义核心价值观，提倡爱祖国、爱人民、爱劳动、爱科学、爱社会主义的公德，在人民中进行爱国主义、集</w:t>
      </w:r>
      <w:r>
        <w:rPr>
          <w:rFonts w:ascii="华文楷体" w:eastAsia="华文楷体" w:hAnsi="华文楷体" w:cs="华文楷体" w:hint="eastAsia"/>
        </w:rPr>
        <w:t>体主义和国际主义、共产主义的教育，进行辩证唯物主义和历史唯物主义的教育，反对资本主义的、封建主义的和其他的腐朽思想。”</w:t>
      </w:r>
    </w:p>
    <w:p w14:paraId="1A449ECC" w14:textId="77777777" w:rsidR="00ED5EBF" w:rsidRDefault="00ED5EBF">
      <w:pPr>
        <w:spacing w:line="360" w:lineRule="auto"/>
        <w:rPr>
          <w:rFonts w:ascii="华文楷体" w:eastAsia="华文楷体" w:hAnsi="华文楷体" w:cs="华文楷体"/>
        </w:rPr>
      </w:pPr>
    </w:p>
    <w:p w14:paraId="558CC463"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第四十条</w:t>
      </w:r>
      <w:r>
        <w:rPr>
          <w:rFonts w:ascii="华文楷体" w:eastAsia="华文楷体" w:hAnsi="华文楷体" w:cs="华文楷体" w:hint="eastAsia"/>
        </w:rPr>
        <w:t xml:space="preserve">  </w:t>
      </w:r>
      <w:r>
        <w:rPr>
          <w:rFonts w:ascii="华文楷体" w:eastAsia="华文楷体" w:hAnsi="华文楷体" w:cs="华文楷体" w:hint="eastAsia"/>
        </w:rPr>
        <w:t>宪法第二十七条增加一款，作为第三款：“国家工作人员就职时</w:t>
      </w:r>
      <w:r>
        <w:rPr>
          <w:rFonts w:ascii="华文楷体" w:eastAsia="华文楷体" w:hAnsi="华文楷体" w:cs="华文楷体" w:hint="eastAsia"/>
        </w:rPr>
        <w:lastRenderedPageBreak/>
        <w:t>应当依照法律规定公开进行宪法宣誓。”</w:t>
      </w:r>
    </w:p>
    <w:p w14:paraId="1456E05C" w14:textId="77777777" w:rsidR="00ED5EBF" w:rsidRDefault="00ED5EBF">
      <w:pPr>
        <w:spacing w:line="360" w:lineRule="auto"/>
        <w:rPr>
          <w:rFonts w:ascii="华文楷体" w:eastAsia="华文楷体" w:hAnsi="华文楷体" w:cs="华文楷体"/>
        </w:rPr>
      </w:pPr>
    </w:p>
    <w:p w14:paraId="63E9ED74"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第四十一条</w:t>
      </w:r>
      <w:r>
        <w:rPr>
          <w:rFonts w:ascii="华文楷体" w:eastAsia="华文楷体" w:hAnsi="华文楷体" w:cs="华文楷体" w:hint="eastAsia"/>
        </w:rPr>
        <w:t xml:space="preserve">  </w:t>
      </w:r>
      <w:r>
        <w:rPr>
          <w:rFonts w:ascii="华文楷体" w:eastAsia="华文楷体" w:hAnsi="华文楷体" w:cs="华文楷体" w:hint="eastAsia"/>
        </w:rPr>
        <w:t>宪法第六十二条“全国人民代表大会行使下列职权”中增加一项，作为第七项“（七）选举国家监察委员会主任”，第七项至第十五项相应改为第八项至第十六项。</w:t>
      </w:r>
    </w:p>
    <w:p w14:paraId="204778A6" w14:textId="77777777" w:rsidR="00ED5EBF" w:rsidRDefault="00ED5EBF">
      <w:pPr>
        <w:spacing w:line="360" w:lineRule="auto"/>
        <w:rPr>
          <w:rFonts w:ascii="华文楷体" w:eastAsia="华文楷体" w:hAnsi="华文楷体" w:cs="华文楷体"/>
        </w:rPr>
      </w:pPr>
    </w:p>
    <w:p w14:paraId="70EC354B"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第四十二条</w:t>
      </w:r>
      <w:r>
        <w:rPr>
          <w:rFonts w:ascii="华文楷体" w:eastAsia="华文楷体" w:hAnsi="华文楷体" w:cs="华文楷体" w:hint="eastAsia"/>
        </w:rPr>
        <w:t xml:space="preserve">  </w:t>
      </w:r>
      <w:r>
        <w:rPr>
          <w:rFonts w:ascii="华文楷体" w:eastAsia="华文楷体" w:hAnsi="华文楷体" w:cs="华文楷体" w:hint="eastAsia"/>
        </w:rPr>
        <w:t>宪法第六十三条“全国人民代表大会有权罢免下列人员”中增加一项，作为第四项“（四）国家监察委员会</w:t>
      </w:r>
      <w:r>
        <w:rPr>
          <w:rFonts w:ascii="华文楷体" w:eastAsia="华文楷体" w:hAnsi="华文楷体" w:cs="华文楷体" w:hint="eastAsia"/>
        </w:rPr>
        <w:t>主任”，第四项、第五项相应改为第五项、第六项。</w:t>
      </w:r>
    </w:p>
    <w:p w14:paraId="30C578E8" w14:textId="77777777" w:rsidR="00ED5EBF" w:rsidRDefault="00ED5EBF">
      <w:pPr>
        <w:spacing w:line="360" w:lineRule="auto"/>
        <w:rPr>
          <w:rFonts w:ascii="华文楷体" w:eastAsia="华文楷体" w:hAnsi="华文楷体" w:cs="华文楷体"/>
        </w:rPr>
      </w:pPr>
    </w:p>
    <w:p w14:paraId="22BC1D19"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第四十三条</w:t>
      </w:r>
      <w:r>
        <w:rPr>
          <w:rFonts w:ascii="华文楷体" w:eastAsia="华文楷体" w:hAnsi="华文楷体" w:cs="华文楷体" w:hint="eastAsia"/>
        </w:rPr>
        <w:t xml:space="preserve">  </w:t>
      </w:r>
      <w:r>
        <w:rPr>
          <w:rFonts w:ascii="华文楷体" w:eastAsia="华文楷体" w:hAnsi="华文楷体" w:cs="华文楷体" w:hint="eastAsia"/>
        </w:rPr>
        <w:t>宪法第六十五条第四款“全国人民代表大会常务委员会的组成人员不得担任国家行政机关、审判机关和检察机关的职务。”修改为：“全国人民代表大会常务委员会的组成人员不得担任国家行政机关、监察机关、审判机关和检察机关的职务。”</w:t>
      </w:r>
    </w:p>
    <w:p w14:paraId="25B50021" w14:textId="77777777" w:rsidR="00ED5EBF" w:rsidRDefault="00ED5EBF">
      <w:pPr>
        <w:spacing w:line="360" w:lineRule="auto"/>
        <w:rPr>
          <w:rFonts w:ascii="华文楷体" w:eastAsia="华文楷体" w:hAnsi="华文楷体" w:cs="华文楷体"/>
        </w:rPr>
      </w:pPr>
    </w:p>
    <w:p w14:paraId="2BD2C6BC"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第四十四条</w:t>
      </w:r>
      <w:r>
        <w:rPr>
          <w:rFonts w:ascii="华文楷体" w:eastAsia="华文楷体" w:hAnsi="华文楷体" w:cs="华文楷体" w:hint="eastAsia"/>
        </w:rPr>
        <w:t xml:space="preserve">  </w:t>
      </w:r>
      <w:r>
        <w:rPr>
          <w:rFonts w:ascii="华文楷体" w:eastAsia="华文楷体" w:hAnsi="华文楷体" w:cs="华文楷体" w:hint="eastAsia"/>
        </w:rPr>
        <w:t>宪法第六十七条“全国人民代表大会常务委员会行使下列职权”中第六项“（六）监督国务院、中央军事委员会、最高人民法院和最高人民检察院的工作”修改为“（六）监督国务院、中央军事委员会、国家监察委员会、最高人民法院和</w:t>
      </w:r>
      <w:r>
        <w:rPr>
          <w:rFonts w:ascii="华文楷体" w:eastAsia="华文楷体" w:hAnsi="华文楷体" w:cs="华文楷体" w:hint="eastAsia"/>
        </w:rPr>
        <w:t>最高人民检察院的工作”；增加一项，作为第十一项“（十一）根据国家监察委员会主任的提请，任免国家监察委员会副主任、委员”，第十一项至第二十一项相应改为第十二项至第二十二项。</w:t>
      </w:r>
    </w:p>
    <w:p w14:paraId="501EDE7B" w14:textId="77777777" w:rsidR="00ED5EBF" w:rsidRDefault="00ED5EBF">
      <w:pPr>
        <w:spacing w:line="360" w:lineRule="auto"/>
        <w:rPr>
          <w:rFonts w:ascii="华文楷体" w:eastAsia="华文楷体" w:hAnsi="华文楷体" w:cs="华文楷体"/>
        </w:rPr>
      </w:pPr>
    </w:p>
    <w:p w14:paraId="4B49F9C3"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lastRenderedPageBreak/>
        <w:t xml:space="preserve">　　宪法第七十条第一款中“全国人民代表大会设立民族委员会、法律委员会、财政经济委员会、教育科学文化卫生委员会、外事委员会、华侨委员会和其他需要设立的专门委员会。”修改为：“全国人民代表大会设立民族委员会、宪法和法律委员会、财政经济委员会、教育科学文化卫生委员会、外事委员会、华侨委员会和其他需要设立的专门委员会。”</w:t>
      </w:r>
    </w:p>
    <w:p w14:paraId="6FFF88F3" w14:textId="77777777" w:rsidR="00ED5EBF" w:rsidRDefault="00ED5EBF">
      <w:pPr>
        <w:spacing w:line="360" w:lineRule="auto"/>
        <w:rPr>
          <w:rFonts w:ascii="华文楷体" w:eastAsia="华文楷体" w:hAnsi="华文楷体" w:cs="华文楷体"/>
        </w:rPr>
      </w:pPr>
    </w:p>
    <w:p w14:paraId="3935CDAF"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第四十五条</w:t>
      </w:r>
      <w:r>
        <w:rPr>
          <w:rFonts w:ascii="华文楷体" w:eastAsia="华文楷体" w:hAnsi="华文楷体" w:cs="华文楷体" w:hint="eastAsia"/>
        </w:rPr>
        <w:t xml:space="preserve">  </w:t>
      </w:r>
      <w:r>
        <w:rPr>
          <w:rFonts w:ascii="华文楷体" w:eastAsia="华文楷体" w:hAnsi="华文楷体" w:cs="华文楷体" w:hint="eastAsia"/>
        </w:rPr>
        <w:t>宪</w:t>
      </w:r>
      <w:r>
        <w:rPr>
          <w:rFonts w:ascii="华文楷体" w:eastAsia="华文楷体" w:hAnsi="华文楷体" w:cs="华文楷体" w:hint="eastAsia"/>
        </w:rPr>
        <w:t>法第七十九条第三款“中华人民共和国主席、副主席每届任期同全国人民代表大会每届任期相同，连续任职不得超过两届。”修改为：“中华人民共和国主席、副主席每届任期同全国人民代表大会每届任期相同。”</w:t>
      </w:r>
    </w:p>
    <w:p w14:paraId="602092B5" w14:textId="77777777" w:rsidR="00ED5EBF" w:rsidRDefault="00ED5EBF">
      <w:pPr>
        <w:spacing w:line="360" w:lineRule="auto"/>
        <w:rPr>
          <w:rFonts w:ascii="华文楷体" w:eastAsia="华文楷体" w:hAnsi="华文楷体" w:cs="华文楷体"/>
        </w:rPr>
      </w:pPr>
    </w:p>
    <w:p w14:paraId="5CA90551"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第四十六条</w:t>
      </w:r>
      <w:r>
        <w:rPr>
          <w:rFonts w:ascii="华文楷体" w:eastAsia="华文楷体" w:hAnsi="华文楷体" w:cs="华文楷体" w:hint="eastAsia"/>
        </w:rPr>
        <w:t xml:space="preserve">  </w:t>
      </w:r>
      <w:r>
        <w:rPr>
          <w:rFonts w:ascii="华文楷体" w:eastAsia="华文楷体" w:hAnsi="华文楷体" w:cs="华文楷体" w:hint="eastAsia"/>
        </w:rPr>
        <w:t>宪法第八十九条“国务院行使下列职权”中第六项“（六）领导和管理经济工作和城乡建设”修改为“（六）领导和管理经济工作和城乡建设、生态文明建设”；第八项“（八）领导和管理民政、公安、司法行政和监察等工作”修改为“（八）领导和管理民政、公安、司法行政等工作”。</w:t>
      </w:r>
    </w:p>
    <w:p w14:paraId="5B3DCCEA" w14:textId="77777777" w:rsidR="00ED5EBF" w:rsidRDefault="00ED5EBF">
      <w:pPr>
        <w:spacing w:line="360" w:lineRule="auto"/>
        <w:rPr>
          <w:rFonts w:ascii="华文楷体" w:eastAsia="华文楷体" w:hAnsi="华文楷体" w:cs="华文楷体"/>
        </w:rPr>
      </w:pPr>
    </w:p>
    <w:p w14:paraId="6CEB1AB3"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第四十七条</w:t>
      </w:r>
      <w:r>
        <w:rPr>
          <w:rFonts w:ascii="华文楷体" w:eastAsia="华文楷体" w:hAnsi="华文楷体" w:cs="华文楷体" w:hint="eastAsia"/>
        </w:rPr>
        <w:t xml:space="preserve">  </w:t>
      </w:r>
      <w:r>
        <w:rPr>
          <w:rFonts w:ascii="华文楷体" w:eastAsia="华文楷体" w:hAnsi="华文楷体" w:cs="华文楷体" w:hint="eastAsia"/>
        </w:rPr>
        <w:t>宪法第一百条增加一款，作为</w:t>
      </w:r>
      <w:r>
        <w:rPr>
          <w:rFonts w:ascii="华文楷体" w:eastAsia="华文楷体" w:hAnsi="华文楷体" w:cs="华文楷体" w:hint="eastAsia"/>
        </w:rPr>
        <w:t>第二款：“设区的市的人民代表大会和它们的常务委员会，在不同宪法、法律、行政法规和本省、自治区的地方性法规相抵触的前提下，可以依照法律规定制定地方性法规，报本省、自治区人民代表大会常务委员会批准后施行。”</w:t>
      </w:r>
    </w:p>
    <w:p w14:paraId="126C423C" w14:textId="77777777" w:rsidR="00ED5EBF" w:rsidRDefault="00ED5EBF">
      <w:pPr>
        <w:spacing w:line="360" w:lineRule="auto"/>
        <w:rPr>
          <w:rFonts w:ascii="华文楷体" w:eastAsia="华文楷体" w:hAnsi="华文楷体" w:cs="华文楷体"/>
        </w:rPr>
      </w:pPr>
    </w:p>
    <w:p w14:paraId="5E35BF5A"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第四十八条</w:t>
      </w:r>
      <w:r>
        <w:rPr>
          <w:rFonts w:ascii="华文楷体" w:eastAsia="华文楷体" w:hAnsi="华文楷体" w:cs="华文楷体" w:hint="eastAsia"/>
        </w:rPr>
        <w:t xml:space="preserve">  </w:t>
      </w:r>
      <w:r>
        <w:rPr>
          <w:rFonts w:ascii="华文楷体" w:eastAsia="华文楷体" w:hAnsi="华文楷体" w:cs="华文楷体" w:hint="eastAsia"/>
        </w:rPr>
        <w:t>宪法第一百零一条第二款中“县级以上的地方各级人民代表大会选举并且有权罢免本级人民法院院长和本级人民检察院检察长。”修改为：“县</w:t>
      </w:r>
      <w:r>
        <w:rPr>
          <w:rFonts w:ascii="华文楷体" w:eastAsia="华文楷体" w:hAnsi="华文楷体" w:cs="华文楷体" w:hint="eastAsia"/>
        </w:rPr>
        <w:lastRenderedPageBreak/>
        <w:t>级以上的地方各级人民代表大会选举并且有权罢免本级监察委员会主任、本级人民法院院长和本级人民检察院检察长。”</w:t>
      </w:r>
    </w:p>
    <w:p w14:paraId="4EFACB71" w14:textId="77777777" w:rsidR="00ED5EBF" w:rsidRDefault="00ED5EBF">
      <w:pPr>
        <w:spacing w:line="360" w:lineRule="auto"/>
        <w:rPr>
          <w:rFonts w:ascii="华文楷体" w:eastAsia="华文楷体" w:hAnsi="华文楷体" w:cs="华文楷体"/>
        </w:rPr>
      </w:pPr>
    </w:p>
    <w:p w14:paraId="065B8F89"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第四十九条</w:t>
      </w:r>
      <w:r>
        <w:rPr>
          <w:rFonts w:ascii="华文楷体" w:eastAsia="华文楷体" w:hAnsi="华文楷体" w:cs="华文楷体" w:hint="eastAsia"/>
        </w:rPr>
        <w:t xml:space="preserve">  </w:t>
      </w:r>
      <w:r>
        <w:rPr>
          <w:rFonts w:ascii="华文楷体" w:eastAsia="华文楷体" w:hAnsi="华文楷体" w:cs="华文楷体" w:hint="eastAsia"/>
        </w:rPr>
        <w:t>宪法第一百零三条第三款“县级以上的地方各级人民代表大会常务委员会的组成人员不得担任国家行政机关、审判机关和检察机关的职务。”修改为：“县级以上的地方各级人民代表大会常务委员会的组成人员不得担任国家行政机关、监察机关、审判机关和检察机关的职务。”</w:t>
      </w:r>
    </w:p>
    <w:p w14:paraId="019E3A50" w14:textId="77777777" w:rsidR="00ED5EBF" w:rsidRDefault="00ED5EBF">
      <w:pPr>
        <w:spacing w:line="360" w:lineRule="auto"/>
        <w:rPr>
          <w:rFonts w:ascii="华文楷体" w:eastAsia="华文楷体" w:hAnsi="华文楷体" w:cs="华文楷体"/>
        </w:rPr>
      </w:pPr>
    </w:p>
    <w:p w14:paraId="2E2FC3BD"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第五十条</w:t>
      </w:r>
      <w:r>
        <w:rPr>
          <w:rFonts w:ascii="华文楷体" w:eastAsia="华文楷体" w:hAnsi="华文楷体" w:cs="华文楷体" w:hint="eastAsia"/>
        </w:rPr>
        <w:t xml:space="preserve">  </w:t>
      </w:r>
      <w:r>
        <w:rPr>
          <w:rFonts w:ascii="华文楷体" w:eastAsia="华文楷体" w:hAnsi="华文楷体" w:cs="华文楷体" w:hint="eastAsia"/>
        </w:rPr>
        <w:t>宪法第一百零四条中“监督本级人民政府、人民法院和人民检察院的工作”修改为“监督本级人民政府、监察委员会、人民法院和人民检察院的工作”。这一条相应修改为：“县级以上的地方各级人民代表大会常务委员会讨论、决定本行政区域内各方面工作的重大事项；监督本级人</w:t>
      </w:r>
      <w:r>
        <w:rPr>
          <w:rFonts w:ascii="华文楷体" w:eastAsia="华文楷体" w:hAnsi="华文楷体" w:cs="华文楷体" w:hint="eastAsia"/>
        </w:rPr>
        <w:t>民政府、监察委员会、人民法院和人民检察院的工作；撤销本级人民政府的不适当的决定和命令；撤销下一级人民代表大会的不适当的决议；依照法律规定的权限决定国家机关工作人员的任免；在本级人民代表大会闭会期间，罢免和补选上一级人民代表大会的个别代表。”</w:t>
      </w:r>
    </w:p>
    <w:p w14:paraId="7974F7BC" w14:textId="77777777" w:rsidR="00ED5EBF" w:rsidRDefault="00ED5EBF">
      <w:pPr>
        <w:spacing w:line="360" w:lineRule="auto"/>
        <w:rPr>
          <w:rFonts w:ascii="华文楷体" w:eastAsia="华文楷体" w:hAnsi="华文楷体" w:cs="华文楷体"/>
        </w:rPr>
      </w:pPr>
    </w:p>
    <w:p w14:paraId="1750D6FB"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第五十一条</w:t>
      </w:r>
      <w:r>
        <w:rPr>
          <w:rFonts w:ascii="华文楷体" w:eastAsia="华文楷体" w:hAnsi="华文楷体" w:cs="华文楷体" w:hint="eastAsia"/>
        </w:rPr>
        <w:t xml:space="preserve">  </w:t>
      </w:r>
      <w:r>
        <w:rPr>
          <w:rFonts w:ascii="华文楷体" w:eastAsia="华文楷体" w:hAnsi="华文楷体" w:cs="华文楷体" w:hint="eastAsia"/>
        </w:rPr>
        <w:t>宪法第一百零七条第一款“县级以上地方各级人民政府依照法律规定的权限，管理本行政区域内的经济、教育、科学、文化、卫生、体育事业、城乡建设事业和财政、民政、公安、民族事务、司法行政、监察、计划生育等行政工作，发布决定和命令，任免、培训、考核和奖惩行政工作人员。”修改为：“县级以上地方各级人民政府依照法律规定的权限，管理本行政区域内的经济、教育、</w:t>
      </w:r>
      <w:r>
        <w:rPr>
          <w:rFonts w:ascii="华文楷体" w:eastAsia="华文楷体" w:hAnsi="华文楷体" w:cs="华文楷体" w:hint="eastAsia"/>
        </w:rPr>
        <w:lastRenderedPageBreak/>
        <w:t>科学、文化、卫生、体育事业、城乡建设事业和财政、民政、公安、民族事务、司法行政、计划生育等行政工作，发布决定和命令，任免、培训、考核和奖惩行政工作人员。”</w:t>
      </w:r>
    </w:p>
    <w:p w14:paraId="135417CE" w14:textId="77777777" w:rsidR="00ED5EBF" w:rsidRDefault="00ED5EBF">
      <w:pPr>
        <w:spacing w:line="360" w:lineRule="auto"/>
        <w:rPr>
          <w:rFonts w:ascii="华文楷体" w:eastAsia="华文楷体" w:hAnsi="华文楷体" w:cs="华文楷体"/>
        </w:rPr>
      </w:pPr>
    </w:p>
    <w:p w14:paraId="1C21EB4B"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第五十二</w:t>
      </w:r>
      <w:r>
        <w:rPr>
          <w:rFonts w:ascii="华文楷体" w:eastAsia="华文楷体" w:hAnsi="华文楷体" w:cs="华文楷体" w:hint="eastAsia"/>
        </w:rPr>
        <w:t>条</w:t>
      </w:r>
      <w:r>
        <w:rPr>
          <w:rFonts w:ascii="华文楷体" w:eastAsia="华文楷体" w:hAnsi="华文楷体" w:cs="华文楷体" w:hint="eastAsia"/>
        </w:rPr>
        <w:t xml:space="preserve">  </w:t>
      </w:r>
      <w:r>
        <w:rPr>
          <w:rFonts w:ascii="华文楷体" w:eastAsia="华文楷体" w:hAnsi="华文楷体" w:cs="华文楷体" w:hint="eastAsia"/>
        </w:rPr>
        <w:t>宪法第三章“国家机构”中增加一节，作为第七节“监察委员会”；增加五条，分别作为第一百二十三条至第一百二十七条。内容如下：</w:t>
      </w:r>
    </w:p>
    <w:p w14:paraId="5C4C4B3A" w14:textId="77777777" w:rsidR="00ED5EBF" w:rsidRDefault="00ED5EBF">
      <w:pPr>
        <w:spacing w:line="360" w:lineRule="auto"/>
        <w:rPr>
          <w:rFonts w:ascii="华文楷体" w:eastAsia="华文楷体" w:hAnsi="华文楷体" w:cs="华文楷体"/>
        </w:rPr>
      </w:pPr>
    </w:p>
    <w:p w14:paraId="75EEC5A3"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第七节</w:t>
      </w:r>
      <w:r>
        <w:rPr>
          <w:rFonts w:ascii="华文楷体" w:eastAsia="华文楷体" w:hAnsi="华文楷体" w:cs="华文楷体" w:hint="eastAsia"/>
        </w:rPr>
        <w:t xml:space="preserve">  </w:t>
      </w:r>
      <w:r>
        <w:rPr>
          <w:rFonts w:ascii="华文楷体" w:eastAsia="华文楷体" w:hAnsi="华文楷体" w:cs="华文楷体" w:hint="eastAsia"/>
        </w:rPr>
        <w:t>监察委员会</w:t>
      </w:r>
    </w:p>
    <w:p w14:paraId="6420E8B0" w14:textId="77777777" w:rsidR="00ED5EBF" w:rsidRDefault="00ED5EBF">
      <w:pPr>
        <w:spacing w:line="360" w:lineRule="auto"/>
        <w:rPr>
          <w:rFonts w:ascii="华文楷体" w:eastAsia="华文楷体" w:hAnsi="华文楷体" w:cs="华文楷体"/>
        </w:rPr>
      </w:pPr>
    </w:p>
    <w:p w14:paraId="5D8B861F"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第一百二十三条</w:t>
      </w:r>
      <w:r>
        <w:rPr>
          <w:rFonts w:ascii="华文楷体" w:eastAsia="华文楷体" w:hAnsi="华文楷体" w:cs="华文楷体" w:hint="eastAsia"/>
        </w:rPr>
        <w:t xml:space="preserve">  </w:t>
      </w:r>
      <w:r>
        <w:rPr>
          <w:rFonts w:ascii="华文楷体" w:eastAsia="华文楷体" w:hAnsi="华文楷体" w:cs="华文楷体" w:hint="eastAsia"/>
        </w:rPr>
        <w:t>中华人民共和国各级监察委员会是国家的监察机关。</w:t>
      </w:r>
    </w:p>
    <w:p w14:paraId="4CA53977" w14:textId="77777777" w:rsidR="00ED5EBF" w:rsidRDefault="00ED5EBF">
      <w:pPr>
        <w:spacing w:line="360" w:lineRule="auto"/>
        <w:rPr>
          <w:rFonts w:ascii="华文楷体" w:eastAsia="华文楷体" w:hAnsi="华文楷体" w:cs="华文楷体"/>
        </w:rPr>
      </w:pPr>
    </w:p>
    <w:p w14:paraId="799A5AC6"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第一百二十四条</w:t>
      </w:r>
      <w:r>
        <w:rPr>
          <w:rFonts w:ascii="华文楷体" w:eastAsia="华文楷体" w:hAnsi="华文楷体" w:cs="华文楷体" w:hint="eastAsia"/>
        </w:rPr>
        <w:t xml:space="preserve">  </w:t>
      </w:r>
      <w:r>
        <w:rPr>
          <w:rFonts w:ascii="华文楷体" w:eastAsia="华文楷体" w:hAnsi="华文楷体" w:cs="华文楷体" w:hint="eastAsia"/>
        </w:rPr>
        <w:t>中华人民共和国设立国家监察委员会和地方各级监察委员会。</w:t>
      </w:r>
    </w:p>
    <w:p w14:paraId="31996840" w14:textId="77777777" w:rsidR="00ED5EBF" w:rsidRDefault="00ED5EBF">
      <w:pPr>
        <w:spacing w:line="360" w:lineRule="auto"/>
        <w:rPr>
          <w:rFonts w:ascii="华文楷体" w:eastAsia="华文楷体" w:hAnsi="华文楷体" w:cs="华文楷体"/>
        </w:rPr>
      </w:pPr>
    </w:p>
    <w:p w14:paraId="65411EB6" w14:textId="77777777" w:rsidR="00ED5EBF" w:rsidRDefault="002034C8">
      <w:pPr>
        <w:spacing w:line="360" w:lineRule="auto"/>
        <w:ind w:firstLine="480"/>
        <w:rPr>
          <w:rFonts w:ascii="华文楷体" w:eastAsia="华文楷体" w:hAnsi="华文楷体" w:cs="华文楷体"/>
        </w:rPr>
      </w:pPr>
      <w:r>
        <w:rPr>
          <w:rFonts w:ascii="华文楷体" w:eastAsia="华文楷体" w:hAnsi="华文楷体" w:cs="华文楷体" w:hint="eastAsia"/>
        </w:rPr>
        <w:t>监察委员会由下列人员组成：</w:t>
      </w:r>
    </w:p>
    <w:p w14:paraId="0E44268E" w14:textId="77777777" w:rsidR="00ED5EBF" w:rsidRDefault="00ED5EBF">
      <w:pPr>
        <w:spacing w:line="360" w:lineRule="auto"/>
        <w:ind w:firstLine="480"/>
        <w:rPr>
          <w:rFonts w:ascii="华文楷体" w:eastAsia="华文楷体" w:hAnsi="华文楷体" w:cs="华文楷体"/>
        </w:rPr>
      </w:pPr>
    </w:p>
    <w:p w14:paraId="6787C16B"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主任，</w:t>
      </w:r>
    </w:p>
    <w:p w14:paraId="5E1409AD" w14:textId="77777777" w:rsidR="00ED5EBF" w:rsidRDefault="00ED5EBF">
      <w:pPr>
        <w:spacing w:line="360" w:lineRule="auto"/>
        <w:rPr>
          <w:rFonts w:ascii="华文楷体" w:eastAsia="华文楷体" w:hAnsi="华文楷体" w:cs="华文楷体"/>
        </w:rPr>
      </w:pPr>
    </w:p>
    <w:p w14:paraId="41C40997"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副主任若干人，</w:t>
      </w:r>
    </w:p>
    <w:p w14:paraId="18B0B43C" w14:textId="77777777" w:rsidR="00ED5EBF" w:rsidRDefault="00ED5EBF">
      <w:pPr>
        <w:spacing w:line="360" w:lineRule="auto"/>
        <w:rPr>
          <w:rFonts w:ascii="华文楷体" w:eastAsia="华文楷体" w:hAnsi="华文楷体" w:cs="华文楷体"/>
        </w:rPr>
      </w:pPr>
    </w:p>
    <w:p w14:paraId="4DFF151F" w14:textId="77777777" w:rsidR="00ED5EBF" w:rsidRDefault="002034C8">
      <w:pPr>
        <w:spacing w:line="360" w:lineRule="auto"/>
        <w:ind w:firstLine="480"/>
        <w:rPr>
          <w:rFonts w:ascii="华文楷体" w:eastAsia="华文楷体" w:hAnsi="华文楷体" w:cs="华文楷体"/>
        </w:rPr>
      </w:pPr>
      <w:r>
        <w:rPr>
          <w:rFonts w:ascii="华文楷体" w:eastAsia="华文楷体" w:hAnsi="华文楷体" w:cs="华文楷体" w:hint="eastAsia"/>
        </w:rPr>
        <w:t>委员若干人。</w:t>
      </w:r>
    </w:p>
    <w:p w14:paraId="4DDA305C" w14:textId="77777777" w:rsidR="00ED5EBF" w:rsidRDefault="00ED5EBF">
      <w:pPr>
        <w:spacing w:line="360" w:lineRule="auto"/>
        <w:ind w:firstLine="480"/>
        <w:rPr>
          <w:rFonts w:ascii="华文楷体" w:eastAsia="华文楷体" w:hAnsi="华文楷体" w:cs="华文楷体"/>
        </w:rPr>
      </w:pPr>
    </w:p>
    <w:p w14:paraId="467E1B0E"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lastRenderedPageBreak/>
        <w:t xml:space="preserve">　　监察委员会主任每届任期同本级人民代表大会每届任期相同。国家监察委员会主任连续任职不得超过两届。</w:t>
      </w:r>
    </w:p>
    <w:p w14:paraId="6EE0B58F" w14:textId="77777777" w:rsidR="00ED5EBF" w:rsidRDefault="00ED5EBF">
      <w:pPr>
        <w:spacing w:line="360" w:lineRule="auto"/>
        <w:rPr>
          <w:rFonts w:ascii="华文楷体" w:eastAsia="华文楷体" w:hAnsi="华文楷体" w:cs="华文楷体"/>
        </w:rPr>
      </w:pPr>
    </w:p>
    <w:p w14:paraId="3DA2281C"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监察委员会的组</w:t>
      </w:r>
      <w:r>
        <w:rPr>
          <w:rFonts w:ascii="华文楷体" w:eastAsia="华文楷体" w:hAnsi="华文楷体" w:cs="华文楷体" w:hint="eastAsia"/>
        </w:rPr>
        <w:t>织和职权由法律规定。</w:t>
      </w:r>
    </w:p>
    <w:p w14:paraId="10E98913" w14:textId="77777777" w:rsidR="00ED5EBF" w:rsidRDefault="00ED5EBF">
      <w:pPr>
        <w:spacing w:line="360" w:lineRule="auto"/>
        <w:rPr>
          <w:rFonts w:ascii="华文楷体" w:eastAsia="华文楷体" w:hAnsi="华文楷体" w:cs="华文楷体"/>
        </w:rPr>
      </w:pPr>
    </w:p>
    <w:p w14:paraId="6A3C5BA4"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第一百二十五条</w:t>
      </w:r>
      <w:r>
        <w:rPr>
          <w:rFonts w:ascii="华文楷体" w:eastAsia="华文楷体" w:hAnsi="华文楷体" w:cs="华文楷体" w:hint="eastAsia"/>
        </w:rPr>
        <w:t xml:space="preserve">  </w:t>
      </w:r>
      <w:r>
        <w:rPr>
          <w:rFonts w:ascii="华文楷体" w:eastAsia="华文楷体" w:hAnsi="华文楷体" w:cs="华文楷体" w:hint="eastAsia"/>
        </w:rPr>
        <w:t>中华人民共和国国家监察委员会是最高监察机关。</w:t>
      </w:r>
    </w:p>
    <w:p w14:paraId="28949632" w14:textId="77777777" w:rsidR="00ED5EBF" w:rsidRDefault="00ED5EBF">
      <w:pPr>
        <w:spacing w:line="360" w:lineRule="auto"/>
        <w:rPr>
          <w:rFonts w:ascii="华文楷体" w:eastAsia="华文楷体" w:hAnsi="华文楷体" w:cs="华文楷体"/>
        </w:rPr>
      </w:pPr>
    </w:p>
    <w:p w14:paraId="6752BA0E"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国家监察委员会领导地方各级监察委员会的工作，上级监察委员会领导下级监察委员会的工作。</w:t>
      </w:r>
    </w:p>
    <w:p w14:paraId="6BB88645" w14:textId="77777777" w:rsidR="00ED5EBF" w:rsidRDefault="00ED5EBF">
      <w:pPr>
        <w:spacing w:line="360" w:lineRule="auto"/>
        <w:rPr>
          <w:rFonts w:ascii="华文楷体" w:eastAsia="华文楷体" w:hAnsi="华文楷体" w:cs="华文楷体"/>
        </w:rPr>
      </w:pPr>
    </w:p>
    <w:p w14:paraId="21040772"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第一百二十六条</w:t>
      </w:r>
      <w:r>
        <w:rPr>
          <w:rFonts w:ascii="华文楷体" w:eastAsia="华文楷体" w:hAnsi="华文楷体" w:cs="华文楷体" w:hint="eastAsia"/>
        </w:rPr>
        <w:t xml:space="preserve">  </w:t>
      </w:r>
      <w:r>
        <w:rPr>
          <w:rFonts w:ascii="华文楷体" w:eastAsia="华文楷体" w:hAnsi="华文楷体" w:cs="华文楷体" w:hint="eastAsia"/>
        </w:rPr>
        <w:t>国家监察委员会对全国人民代表大会和全国人民代表大会常务委员会负责。地方各级监察委员会对产生它的国家权力机关和上一级监察委员会负责。</w:t>
      </w:r>
    </w:p>
    <w:p w14:paraId="329E55FD" w14:textId="77777777" w:rsidR="00ED5EBF" w:rsidRDefault="00ED5EBF">
      <w:pPr>
        <w:spacing w:line="360" w:lineRule="auto"/>
        <w:rPr>
          <w:rFonts w:ascii="华文楷体" w:eastAsia="华文楷体" w:hAnsi="华文楷体" w:cs="华文楷体"/>
        </w:rPr>
      </w:pPr>
    </w:p>
    <w:p w14:paraId="7F559FE0"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第一百二十七条</w:t>
      </w:r>
      <w:r>
        <w:rPr>
          <w:rFonts w:ascii="华文楷体" w:eastAsia="华文楷体" w:hAnsi="华文楷体" w:cs="华文楷体" w:hint="eastAsia"/>
        </w:rPr>
        <w:t xml:space="preserve">  </w:t>
      </w:r>
      <w:r>
        <w:rPr>
          <w:rFonts w:ascii="华文楷体" w:eastAsia="华文楷体" w:hAnsi="华文楷体" w:cs="华文楷体" w:hint="eastAsia"/>
        </w:rPr>
        <w:t>监察委员会依照法律规定独立行使监察权，不受行政机关、社会团体和个人的干涉。</w:t>
      </w:r>
    </w:p>
    <w:p w14:paraId="12E353D5"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监察机关办理职务违法和职务犯罪案件，应当与审判机关、检察机关、执法部门互相配合，互相制约。</w:t>
      </w:r>
    </w:p>
    <w:p w14:paraId="3613C4CE" w14:textId="77777777" w:rsidR="00ED5EBF" w:rsidRDefault="00ED5EBF">
      <w:pPr>
        <w:spacing w:line="360" w:lineRule="auto"/>
        <w:rPr>
          <w:rFonts w:ascii="华文楷体" w:eastAsia="华文楷体" w:hAnsi="华文楷体" w:cs="华文楷体"/>
        </w:rPr>
      </w:pPr>
    </w:p>
    <w:p w14:paraId="2F71F60B"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第七节相应改为第八节，第一百二十三条至第一百三十八条相应改为第一百二十八条至第一百四十三条。</w:t>
      </w:r>
    </w:p>
    <w:p w14:paraId="41F8CA5B" w14:textId="77777777" w:rsidR="00ED5EBF" w:rsidRDefault="002034C8">
      <w:pPr>
        <w:spacing w:line="360" w:lineRule="auto"/>
        <w:jc w:val="right"/>
        <w:rPr>
          <w:rFonts w:ascii="华文楷体" w:eastAsia="华文楷体" w:hAnsi="华文楷体" w:cs="华文楷体"/>
        </w:rPr>
      </w:pPr>
      <w:r>
        <w:rPr>
          <w:rFonts w:ascii="华文楷体" w:eastAsia="华文楷体" w:hAnsi="华文楷体" w:cs="华文楷体" w:hint="eastAsia"/>
        </w:rPr>
        <w:t xml:space="preserve">　　（新华社北京</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11</w:t>
      </w:r>
      <w:r>
        <w:rPr>
          <w:rFonts w:ascii="华文楷体" w:eastAsia="华文楷体" w:hAnsi="华文楷体" w:cs="华文楷体" w:hint="eastAsia"/>
        </w:rPr>
        <w:t>日电）</w:t>
      </w:r>
    </w:p>
    <w:p w14:paraId="0077CE0B" w14:textId="77777777" w:rsidR="00ED5EBF" w:rsidRDefault="002034C8">
      <w:pPr>
        <w:spacing w:line="360" w:lineRule="auto"/>
        <w:jc w:val="center"/>
        <w:rPr>
          <w:rFonts w:ascii="华文中宋" w:eastAsia="华文中宋" w:hAnsi="华文中宋" w:cs="华文中宋"/>
          <w:b/>
          <w:bCs/>
        </w:rPr>
      </w:pPr>
      <w:bookmarkStart w:id="15" w:name="印发《关于对慈善捐赠领域相关主体实施守信联合激励和失信联合惩戒的合作备忘录》"/>
      <w:r>
        <w:rPr>
          <w:rFonts w:ascii="华文中宋" w:eastAsia="华文中宋" w:hAnsi="华文中宋" w:cs="华文中宋" w:hint="eastAsia"/>
          <w:b/>
          <w:bCs/>
        </w:rPr>
        <w:lastRenderedPageBreak/>
        <w:t>印发《关于对慈善捐赠领域相关主体实施守信</w:t>
      </w:r>
    </w:p>
    <w:p w14:paraId="0F282C54" w14:textId="77777777" w:rsidR="00ED5EBF" w:rsidRDefault="002034C8">
      <w:pPr>
        <w:spacing w:line="360" w:lineRule="auto"/>
        <w:jc w:val="center"/>
        <w:rPr>
          <w:rFonts w:ascii="华文中宋" w:eastAsia="华文中宋" w:hAnsi="华文中宋" w:cs="华文中宋"/>
          <w:b/>
          <w:bCs/>
        </w:rPr>
      </w:pPr>
      <w:r>
        <w:rPr>
          <w:rFonts w:ascii="华文中宋" w:eastAsia="华文中宋" w:hAnsi="华文中宋" w:cs="华文中宋" w:hint="eastAsia"/>
          <w:b/>
          <w:bCs/>
        </w:rPr>
        <w:t>联合激励和失信联合惩戒的合作备忘录》的通知</w:t>
      </w:r>
      <w:bookmarkEnd w:id="15"/>
    </w:p>
    <w:p w14:paraId="13394C11" w14:textId="77777777" w:rsidR="00ED5EBF" w:rsidRDefault="002034C8">
      <w:pPr>
        <w:spacing w:line="360" w:lineRule="auto"/>
        <w:jc w:val="center"/>
        <w:rPr>
          <w:rFonts w:ascii="华文楷体" w:eastAsia="华文楷体" w:hAnsi="华文楷体" w:cs="华文楷体"/>
          <w:sz w:val="21"/>
          <w:szCs w:val="21"/>
        </w:rPr>
      </w:pPr>
      <w:r>
        <w:rPr>
          <w:rFonts w:ascii="华文楷体" w:eastAsia="华文楷体" w:hAnsi="华文楷体" w:cs="华文楷体" w:hint="eastAsia"/>
          <w:sz w:val="21"/>
          <w:szCs w:val="21"/>
        </w:rPr>
        <w:t>日期：</w:t>
      </w:r>
      <w:r>
        <w:rPr>
          <w:rFonts w:ascii="华文楷体" w:eastAsia="华文楷体" w:hAnsi="华文楷体" w:cs="华文楷体" w:hint="eastAsia"/>
          <w:sz w:val="21"/>
          <w:szCs w:val="21"/>
        </w:rPr>
        <w:t>2018</w:t>
      </w:r>
      <w:r>
        <w:rPr>
          <w:rFonts w:ascii="华文楷体" w:eastAsia="华文楷体" w:hAnsi="华文楷体" w:cs="华文楷体" w:hint="eastAsia"/>
          <w:sz w:val="21"/>
          <w:szCs w:val="21"/>
        </w:rPr>
        <w:t>年</w:t>
      </w:r>
      <w:r>
        <w:rPr>
          <w:rFonts w:ascii="华文楷体" w:eastAsia="华文楷体" w:hAnsi="华文楷体" w:cs="华文楷体" w:hint="eastAsia"/>
          <w:sz w:val="21"/>
          <w:szCs w:val="21"/>
        </w:rPr>
        <w:t>3</w:t>
      </w:r>
      <w:r>
        <w:rPr>
          <w:rFonts w:ascii="华文楷体" w:eastAsia="华文楷体" w:hAnsi="华文楷体" w:cs="华文楷体" w:hint="eastAsia"/>
          <w:sz w:val="21"/>
          <w:szCs w:val="21"/>
        </w:rPr>
        <w:t>月</w:t>
      </w:r>
      <w:r>
        <w:rPr>
          <w:rFonts w:ascii="华文楷体" w:eastAsia="华文楷体" w:hAnsi="华文楷体" w:cs="华文楷体" w:hint="eastAsia"/>
          <w:sz w:val="21"/>
          <w:szCs w:val="21"/>
        </w:rPr>
        <w:t>16</w:t>
      </w:r>
      <w:r>
        <w:rPr>
          <w:rFonts w:ascii="华文楷体" w:eastAsia="华文楷体" w:hAnsi="华文楷体" w:cs="华文楷体" w:hint="eastAsia"/>
          <w:sz w:val="21"/>
          <w:szCs w:val="21"/>
        </w:rPr>
        <w:t>日</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来源：国家发展和改革委员会</w:t>
      </w:r>
    </w:p>
    <w:p w14:paraId="1827D3F9" w14:textId="77777777" w:rsidR="00ED5EBF" w:rsidRDefault="00ED5EBF">
      <w:pPr>
        <w:spacing w:line="360" w:lineRule="auto"/>
        <w:jc w:val="center"/>
        <w:rPr>
          <w:rFonts w:ascii="华文楷体" w:eastAsia="华文楷体" w:hAnsi="华文楷体" w:cs="华文楷体"/>
          <w:sz w:val="21"/>
          <w:szCs w:val="21"/>
        </w:rPr>
      </w:pPr>
    </w:p>
    <w:p w14:paraId="4AFBC498"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发改财金〔</w:t>
      </w:r>
      <w:r>
        <w:rPr>
          <w:rFonts w:ascii="华文楷体" w:eastAsia="华文楷体" w:hAnsi="华文楷体" w:cs="华文楷体" w:hint="eastAsia"/>
        </w:rPr>
        <w:t>2018</w:t>
      </w:r>
      <w:r>
        <w:rPr>
          <w:rFonts w:ascii="华文楷体" w:eastAsia="华文楷体" w:hAnsi="华文楷体" w:cs="华文楷体" w:hint="eastAsia"/>
        </w:rPr>
        <w:t>〕</w:t>
      </w:r>
      <w:r>
        <w:rPr>
          <w:rFonts w:ascii="华文楷体" w:eastAsia="华文楷体" w:hAnsi="华文楷体" w:cs="华文楷体" w:hint="eastAsia"/>
        </w:rPr>
        <w:t>331</w:t>
      </w:r>
      <w:r>
        <w:rPr>
          <w:rFonts w:ascii="华文楷体" w:eastAsia="华文楷体" w:hAnsi="华文楷体" w:cs="华文楷体" w:hint="eastAsia"/>
        </w:rPr>
        <w:t>号</w:t>
      </w:r>
    </w:p>
    <w:p w14:paraId="37B1E834"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w:t>
      </w:r>
    </w:p>
    <w:p w14:paraId="3F25E11E"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各省、自治区、直辖市、新疆生产建设兵团有关部门、机构：</w:t>
      </w:r>
    </w:p>
    <w:p w14:paraId="2B3A07A7"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为深入学习贯彻习近平新时代中国特色社会主义思想</w:t>
      </w:r>
      <w:r>
        <w:rPr>
          <w:rFonts w:ascii="华文楷体" w:eastAsia="华文楷体" w:hAnsi="华文楷体" w:cs="华文楷体" w:hint="eastAsia"/>
        </w:rPr>
        <w:t>和党的十九大精神，落实《国务院关于促进市场公平竞争维护市场正常秩序的若干意见》（国发〔</w:t>
      </w:r>
      <w:r>
        <w:rPr>
          <w:rFonts w:ascii="华文楷体" w:eastAsia="华文楷体" w:hAnsi="华文楷体" w:cs="华文楷体" w:hint="eastAsia"/>
        </w:rPr>
        <w:t>2014</w:t>
      </w:r>
      <w:r>
        <w:rPr>
          <w:rFonts w:ascii="华文楷体" w:eastAsia="华文楷体" w:hAnsi="华文楷体" w:cs="华文楷体" w:hint="eastAsia"/>
        </w:rPr>
        <w:t>〕</w:t>
      </w:r>
      <w:r>
        <w:rPr>
          <w:rFonts w:ascii="华文楷体" w:eastAsia="华文楷体" w:hAnsi="华文楷体" w:cs="华文楷体" w:hint="eastAsia"/>
        </w:rPr>
        <w:t>20</w:t>
      </w:r>
      <w:r>
        <w:rPr>
          <w:rFonts w:ascii="华文楷体" w:eastAsia="华文楷体" w:hAnsi="华文楷体" w:cs="华文楷体" w:hint="eastAsia"/>
        </w:rPr>
        <w:t>号）、《国务院关于印发社会信用体系建设规划纲要（</w:t>
      </w:r>
      <w:r>
        <w:rPr>
          <w:rFonts w:ascii="华文楷体" w:eastAsia="华文楷体" w:hAnsi="华文楷体" w:cs="华文楷体" w:hint="eastAsia"/>
        </w:rPr>
        <w:t>2014-2020</w:t>
      </w:r>
      <w:r>
        <w:rPr>
          <w:rFonts w:ascii="华文楷体" w:eastAsia="华文楷体" w:hAnsi="华文楷体" w:cs="华文楷体" w:hint="eastAsia"/>
        </w:rPr>
        <w:t>年）的通知》（国发〔</w:t>
      </w:r>
      <w:r>
        <w:rPr>
          <w:rFonts w:ascii="华文楷体" w:eastAsia="华文楷体" w:hAnsi="华文楷体" w:cs="华文楷体" w:hint="eastAsia"/>
        </w:rPr>
        <w:t>2014</w:t>
      </w:r>
      <w:r>
        <w:rPr>
          <w:rFonts w:ascii="华文楷体" w:eastAsia="华文楷体" w:hAnsi="华文楷体" w:cs="华文楷体" w:hint="eastAsia"/>
        </w:rPr>
        <w:t>〕</w:t>
      </w:r>
      <w:r>
        <w:rPr>
          <w:rFonts w:ascii="华文楷体" w:eastAsia="华文楷体" w:hAnsi="华文楷体" w:cs="华文楷体" w:hint="eastAsia"/>
        </w:rPr>
        <w:t>21</w:t>
      </w:r>
      <w:r>
        <w:rPr>
          <w:rFonts w:ascii="华文楷体" w:eastAsia="华文楷体" w:hAnsi="华文楷体" w:cs="华文楷体" w:hint="eastAsia"/>
        </w:rPr>
        <w:t>号）、《国务院关于建立完善守信联合激励和失信联合惩戒制度加快推进社会诚信建设的指导意见》（国发〔</w:t>
      </w:r>
      <w:r>
        <w:rPr>
          <w:rFonts w:ascii="华文楷体" w:eastAsia="华文楷体" w:hAnsi="华文楷体" w:cs="华文楷体" w:hint="eastAsia"/>
        </w:rPr>
        <w:t>2016</w:t>
      </w:r>
      <w:r>
        <w:rPr>
          <w:rFonts w:ascii="华文楷体" w:eastAsia="华文楷体" w:hAnsi="华文楷体" w:cs="华文楷体" w:hint="eastAsia"/>
        </w:rPr>
        <w:t>〕</w:t>
      </w:r>
      <w:r>
        <w:rPr>
          <w:rFonts w:ascii="华文楷体" w:eastAsia="华文楷体" w:hAnsi="华文楷体" w:cs="华文楷体" w:hint="eastAsia"/>
        </w:rPr>
        <w:t>33</w:t>
      </w:r>
      <w:r>
        <w:rPr>
          <w:rFonts w:ascii="华文楷体" w:eastAsia="华文楷体" w:hAnsi="华文楷体" w:cs="华文楷体" w:hint="eastAsia"/>
        </w:rPr>
        <w:t>号）、《国家发展改革委</w:t>
      </w:r>
      <w:r>
        <w:rPr>
          <w:rFonts w:ascii="华文楷体" w:eastAsia="华文楷体" w:hAnsi="华文楷体" w:cs="华文楷体" w:hint="eastAsia"/>
        </w:rPr>
        <w:t xml:space="preserve"> </w:t>
      </w:r>
      <w:r>
        <w:rPr>
          <w:rFonts w:ascii="华文楷体" w:eastAsia="华文楷体" w:hAnsi="华文楷体" w:cs="华文楷体" w:hint="eastAsia"/>
        </w:rPr>
        <w:t>人民银行关于加强和规范守信联合激励和失信联合惩戒对象名单管理工作的指导意见》（发改财金规〔</w:t>
      </w:r>
      <w:r>
        <w:rPr>
          <w:rFonts w:ascii="华文楷体" w:eastAsia="华文楷体" w:hAnsi="华文楷体" w:cs="华文楷体" w:hint="eastAsia"/>
        </w:rPr>
        <w:t>2017</w:t>
      </w:r>
      <w:r>
        <w:rPr>
          <w:rFonts w:ascii="华文楷体" w:eastAsia="华文楷体" w:hAnsi="华文楷体" w:cs="华文楷体" w:hint="eastAsia"/>
        </w:rPr>
        <w:t>〕</w:t>
      </w:r>
      <w:r>
        <w:rPr>
          <w:rFonts w:ascii="华文楷体" w:eastAsia="华文楷体" w:hAnsi="华文楷体" w:cs="华文楷体" w:hint="eastAsia"/>
        </w:rPr>
        <w:t>1798</w:t>
      </w:r>
      <w:r>
        <w:rPr>
          <w:rFonts w:ascii="华文楷体" w:eastAsia="华文楷体" w:hAnsi="华文楷体" w:cs="华文楷体" w:hint="eastAsia"/>
        </w:rPr>
        <w:t>号）等文件关于“褒扬诚信、惩戒失信”的总体要求，着眼于弘扬和践行社会主</w:t>
      </w:r>
      <w:r>
        <w:rPr>
          <w:rFonts w:ascii="华文楷体" w:eastAsia="华文楷体" w:hAnsi="华文楷体" w:cs="华文楷体" w:hint="eastAsia"/>
        </w:rPr>
        <w:t>义核心价值观，国家发展改革委、人民银行、民政部、中央文明办、中央网信办、最高人民法院、教育部、科技部、工业和信息化部、公安部、司法部、财政部、人力资源社会保障部、国土资源部、环境保护部、住房城乡建设部、交通运输部、文化部、卫生计生委、海关总署、税务总局、工商总局、质检总局、新闻出版广电总局、体育总局、食品药品监管总局、知识产权局、旅游局、银监会、证监会、保监会、民航局、文物局、国务院扶贫办、全国总工会、共青团中央、全国妇联、中国科协、贸促会、铁路总公司等部门联合签署了《关于对慈善捐赠领域相关主体实施守信联合</w:t>
      </w:r>
      <w:r>
        <w:rPr>
          <w:rFonts w:ascii="华文楷体" w:eastAsia="华文楷体" w:hAnsi="华文楷体" w:cs="华文楷体" w:hint="eastAsia"/>
        </w:rPr>
        <w:t>激励和失信联合惩戒的合作备忘录》。现印发给你们，请认真贯彻执行。</w:t>
      </w:r>
    </w:p>
    <w:p w14:paraId="6C445DA5"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lastRenderedPageBreak/>
        <w:t xml:space="preserve">　　附件：</w:t>
      </w:r>
      <w:hyperlink r:id="rId16" w:history="1">
        <w:r>
          <w:rPr>
            <w:rStyle w:val="a9"/>
            <w:rFonts w:ascii="华文楷体" w:eastAsia="华文楷体" w:hAnsi="华文楷体" w:cs="华文楷体" w:hint="eastAsia"/>
          </w:rPr>
          <w:t>关于对慈善捐赠领域相关主体实施守信联合激励和失信联合惩戒的合作备忘录</w:t>
        </w:r>
      </w:hyperlink>
    </w:p>
    <w:p w14:paraId="15C963D4"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w:t>
      </w:r>
    </w:p>
    <w:p w14:paraId="6A076A3F"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国家发展改革委</w:t>
      </w:r>
    </w:p>
    <w:p w14:paraId="3983CF80"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人　民　银　行</w:t>
      </w:r>
    </w:p>
    <w:p w14:paraId="10BC2876"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民　　政　　部</w:t>
      </w:r>
    </w:p>
    <w:p w14:paraId="1D68EADF"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中</w:t>
      </w:r>
      <w:r>
        <w:rPr>
          <w:rFonts w:ascii="华文楷体" w:eastAsia="华文楷体" w:hAnsi="华文楷体" w:cs="华文楷体" w:hint="eastAsia"/>
        </w:rPr>
        <w:t xml:space="preserve"> </w:t>
      </w:r>
      <w:r>
        <w:rPr>
          <w:rFonts w:ascii="华文楷体" w:eastAsia="华文楷体" w:hAnsi="华文楷体" w:cs="华文楷体" w:hint="eastAsia"/>
        </w:rPr>
        <w:t>央</w:t>
      </w:r>
      <w:r>
        <w:rPr>
          <w:rFonts w:ascii="华文楷体" w:eastAsia="华文楷体" w:hAnsi="华文楷体" w:cs="华文楷体" w:hint="eastAsia"/>
        </w:rPr>
        <w:t xml:space="preserve"> </w:t>
      </w:r>
      <w:r>
        <w:rPr>
          <w:rFonts w:ascii="华文楷体" w:eastAsia="华文楷体" w:hAnsi="华文楷体" w:cs="华文楷体" w:hint="eastAsia"/>
        </w:rPr>
        <w:t>文</w:t>
      </w:r>
      <w:r>
        <w:rPr>
          <w:rFonts w:ascii="华文楷体" w:eastAsia="华文楷体" w:hAnsi="华文楷体" w:cs="华文楷体" w:hint="eastAsia"/>
        </w:rPr>
        <w:t xml:space="preserve"> </w:t>
      </w:r>
      <w:r>
        <w:rPr>
          <w:rFonts w:ascii="华文楷体" w:eastAsia="华文楷体" w:hAnsi="华文楷体" w:cs="华文楷体" w:hint="eastAsia"/>
        </w:rPr>
        <w:t>明</w:t>
      </w:r>
      <w:r>
        <w:rPr>
          <w:rFonts w:ascii="华文楷体" w:eastAsia="华文楷体" w:hAnsi="华文楷体" w:cs="华文楷体" w:hint="eastAsia"/>
        </w:rPr>
        <w:t xml:space="preserve"> </w:t>
      </w:r>
      <w:r>
        <w:rPr>
          <w:rFonts w:ascii="华文楷体" w:eastAsia="华文楷体" w:hAnsi="华文楷体" w:cs="华文楷体" w:hint="eastAsia"/>
        </w:rPr>
        <w:t>办</w:t>
      </w:r>
    </w:p>
    <w:p w14:paraId="5D0722BC"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中</w:t>
      </w:r>
      <w:r>
        <w:rPr>
          <w:rFonts w:ascii="华文楷体" w:eastAsia="华文楷体" w:hAnsi="华文楷体" w:cs="华文楷体" w:hint="eastAsia"/>
        </w:rPr>
        <w:t xml:space="preserve"> </w:t>
      </w:r>
      <w:r>
        <w:rPr>
          <w:rFonts w:ascii="华文楷体" w:eastAsia="华文楷体" w:hAnsi="华文楷体" w:cs="华文楷体" w:hint="eastAsia"/>
        </w:rPr>
        <w:t>央</w:t>
      </w:r>
      <w:r>
        <w:rPr>
          <w:rFonts w:ascii="华文楷体" w:eastAsia="华文楷体" w:hAnsi="华文楷体" w:cs="华文楷体" w:hint="eastAsia"/>
        </w:rPr>
        <w:t xml:space="preserve"> </w:t>
      </w:r>
      <w:r>
        <w:rPr>
          <w:rFonts w:ascii="华文楷体" w:eastAsia="华文楷体" w:hAnsi="华文楷体" w:cs="华文楷体" w:hint="eastAsia"/>
        </w:rPr>
        <w:t>网</w:t>
      </w:r>
      <w:r>
        <w:rPr>
          <w:rFonts w:ascii="华文楷体" w:eastAsia="华文楷体" w:hAnsi="华文楷体" w:cs="华文楷体" w:hint="eastAsia"/>
        </w:rPr>
        <w:t xml:space="preserve"> </w:t>
      </w:r>
      <w:r>
        <w:rPr>
          <w:rFonts w:ascii="华文楷体" w:eastAsia="华文楷体" w:hAnsi="华文楷体" w:cs="华文楷体" w:hint="eastAsia"/>
        </w:rPr>
        <w:t>信</w:t>
      </w:r>
      <w:r>
        <w:rPr>
          <w:rFonts w:ascii="华文楷体" w:eastAsia="华文楷体" w:hAnsi="华文楷体" w:cs="华文楷体" w:hint="eastAsia"/>
        </w:rPr>
        <w:t xml:space="preserve"> </w:t>
      </w:r>
      <w:r>
        <w:rPr>
          <w:rFonts w:ascii="华文楷体" w:eastAsia="华文楷体" w:hAnsi="华文楷体" w:cs="华文楷体" w:hint="eastAsia"/>
        </w:rPr>
        <w:t>办</w:t>
      </w:r>
    </w:p>
    <w:p w14:paraId="75CC6933"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最高人民法院</w:t>
      </w:r>
    </w:p>
    <w:p w14:paraId="3DECC0BD"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教　　育　　部</w:t>
      </w:r>
    </w:p>
    <w:p w14:paraId="3EAAEC33"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科　　技　　部</w:t>
      </w:r>
    </w:p>
    <w:p w14:paraId="3E343CB1"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工业和信息化部</w:t>
      </w:r>
    </w:p>
    <w:p w14:paraId="750915CF"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公　　安　　部</w:t>
      </w:r>
    </w:p>
    <w:p w14:paraId="78969949"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司　　法　　部</w:t>
      </w:r>
    </w:p>
    <w:p w14:paraId="448385B9"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财　　政　　部</w:t>
      </w:r>
    </w:p>
    <w:p w14:paraId="04ADDBF5"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人力资源社会保障部</w:t>
      </w:r>
    </w:p>
    <w:p w14:paraId="1CDC0000"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国</w:t>
      </w:r>
      <w:r>
        <w:rPr>
          <w:rFonts w:ascii="华文楷体" w:eastAsia="华文楷体" w:hAnsi="华文楷体" w:cs="华文楷体" w:hint="eastAsia"/>
        </w:rPr>
        <w:t xml:space="preserve"> </w:t>
      </w:r>
      <w:r>
        <w:rPr>
          <w:rFonts w:ascii="华文楷体" w:eastAsia="华文楷体" w:hAnsi="华文楷体" w:cs="华文楷体" w:hint="eastAsia"/>
        </w:rPr>
        <w:t>土</w:t>
      </w:r>
      <w:r>
        <w:rPr>
          <w:rFonts w:ascii="华文楷体" w:eastAsia="华文楷体" w:hAnsi="华文楷体" w:cs="华文楷体" w:hint="eastAsia"/>
        </w:rPr>
        <w:t xml:space="preserve"> </w:t>
      </w:r>
      <w:r>
        <w:rPr>
          <w:rFonts w:ascii="华文楷体" w:eastAsia="华文楷体" w:hAnsi="华文楷体" w:cs="华文楷体" w:hint="eastAsia"/>
        </w:rPr>
        <w:t>资</w:t>
      </w:r>
      <w:r>
        <w:rPr>
          <w:rFonts w:ascii="华文楷体" w:eastAsia="华文楷体" w:hAnsi="华文楷体" w:cs="华文楷体" w:hint="eastAsia"/>
        </w:rPr>
        <w:t xml:space="preserve"> </w:t>
      </w:r>
      <w:r>
        <w:rPr>
          <w:rFonts w:ascii="华文楷体" w:eastAsia="华文楷体" w:hAnsi="华文楷体" w:cs="华文楷体" w:hint="eastAsia"/>
        </w:rPr>
        <w:t>源</w:t>
      </w:r>
      <w:r>
        <w:rPr>
          <w:rFonts w:ascii="华文楷体" w:eastAsia="华文楷体" w:hAnsi="华文楷体" w:cs="华文楷体" w:hint="eastAsia"/>
        </w:rPr>
        <w:t xml:space="preserve"> </w:t>
      </w:r>
      <w:r>
        <w:rPr>
          <w:rFonts w:ascii="华文楷体" w:eastAsia="华文楷体" w:hAnsi="华文楷体" w:cs="华文楷体" w:hint="eastAsia"/>
        </w:rPr>
        <w:t>部</w:t>
      </w:r>
    </w:p>
    <w:p w14:paraId="3EF8CA1B"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环</w:t>
      </w:r>
      <w:r>
        <w:rPr>
          <w:rFonts w:ascii="华文楷体" w:eastAsia="华文楷体" w:hAnsi="华文楷体" w:cs="华文楷体" w:hint="eastAsia"/>
        </w:rPr>
        <w:t xml:space="preserve"> </w:t>
      </w:r>
      <w:r>
        <w:rPr>
          <w:rFonts w:ascii="华文楷体" w:eastAsia="华文楷体" w:hAnsi="华文楷体" w:cs="华文楷体" w:hint="eastAsia"/>
        </w:rPr>
        <w:t>境</w:t>
      </w:r>
      <w:r>
        <w:rPr>
          <w:rFonts w:ascii="华文楷体" w:eastAsia="华文楷体" w:hAnsi="华文楷体" w:cs="华文楷体" w:hint="eastAsia"/>
        </w:rPr>
        <w:t xml:space="preserve"> </w:t>
      </w:r>
      <w:r>
        <w:rPr>
          <w:rFonts w:ascii="华文楷体" w:eastAsia="华文楷体" w:hAnsi="华文楷体" w:cs="华文楷体" w:hint="eastAsia"/>
        </w:rPr>
        <w:t>保</w:t>
      </w:r>
      <w:r>
        <w:rPr>
          <w:rFonts w:ascii="华文楷体" w:eastAsia="华文楷体" w:hAnsi="华文楷体" w:cs="华文楷体" w:hint="eastAsia"/>
        </w:rPr>
        <w:t xml:space="preserve"> </w:t>
      </w:r>
      <w:r>
        <w:rPr>
          <w:rFonts w:ascii="华文楷体" w:eastAsia="华文楷体" w:hAnsi="华文楷体" w:cs="华文楷体" w:hint="eastAsia"/>
        </w:rPr>
        <w:t>护</w:t>
      </w:r>
      <w:r>
        <w:rPr>
          <w:rFonts w:ascii="华文楷体" w:eastAsia="华文楷体" w:hAnsi="华文楷体" w:cs="华文楷体" w:hint="eastAsia"/>
        </w:rPr>
        <w:t xml:space="preserve"> </w:t>
      </w:r>
      <w:r>
        <w:rPr>
          <w:rFonts w:ascii="华文楷体" w:eastAsia="华文楷体" w:hAnsi="华文楷体" w:cs="华文楷体" w:hint="eastAsia"/>
        </w:rPr>
        <w:t>部</w:t>
      </w:r>
    </w:p>
    <w:p w14:paraId="696E39EF"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住房城乡建设部</w:t>
      </w:r>
    </w:p>
    <w:p w14:paraId="44B174A5"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交</w:t>
      </w:r>
      <w:r>
        <w:rPr>
          <w:rFonts w:ascii="华文楷体" w:eastAsia="华文楷体" w:hAnsi="华文楷体" w:cs="华文楷体" w:hint="eastAsia"/>
        </w:rPr>
        <w:t xml:space="preserve"> </w:t>
      </w:r>
      <w:r>
        <w:rPr>
          <w:rFonts w:ascii="华文楷体" w:eastAsia="华文楷体" w:hAnsi="华文楷体" w:cs="华文楷体" w:hint="eastAsia"/>
        </w:rPr>
        <w:t>通</w:t>
      </w:r>
      <w:r>
        <w:rPr>
          <w:rFonts w:ascii="华文楷体" w:eastAsia="华文楷体" w:hAnsi="华文楷体" w:cs="华文楷体" w:hint="eastAsia"/>
        </w:rPr>
        <w:t xml:space="preserve"> </w:t>
      </w:r>
      <w:r>
        <w:rPr>
          <w:rFonts w:ascii="华文楷体" w:eastAsia="华文楷体" w:hAnsi="华文楷体" w:cs="华文楷体" w:hint="eastAsia"/>
        </w:rPr>
        <w:t>运</w:t>
      </w:r>
      <w:r>
        <w:rPr>
          <w:rFonts w:ascii="华文楷体" w:eastAsia="华文楷体" w:hAnsi="华文楷体" w:cs="华文楷体" w:hint="eastAsia"/>
        </w:rPr>
        <w:t xml:space="preserve"> </w:t>
      </w:r>
      <w:r>
        <w:rPr>
          <w:rFonts w:ascii="华文楷体" w:eastAsia="华文楷体" w:hAnsi="华文楷体" w:cs="华文楷体" w:hint="eastAsia"/>
        </w:rPr>
        <w:t>输</w:t>
      </w:r>
      <w:r>
        <w:rPr>
          <w:rFonts w:ascii="华文楷体" w:eastAsia="华文楷体" w:hAnsi="华文楷体" w:cs="华文楷体" w:hint="eastAsia"/>
        </w:rPr>
        <w:t xml:space="preserve"> </w:t>
      </w:r>
      <w:r>
        <w:rPr>
          <w:rFonts w:ascii="华文楷体" w:eastAsia="华文楷体" w:hAnsi="华文楷体" w:cs="华文楷体" w:hint="eastAsia"/>
        </w:rPr>
        <w:t>部</w:t>
      </w:r>
    </w:p>
    <w:p w14:paraId="66D4AA37"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文　　化　　部</w:t>
      </w:r>
    </w:p>
    <w:p w14:paraId="0792FCBD"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卫</w:t>
      </w:r>
      <w:r>
        <w:rPr>
          <w:rFonts w:ascii="华文楷体" w:eastAsia="华文楷体" w:hAnsi="华文楷体" w:cs="华文楷体" w:hint="eastAsia"/>
        </w:rPr>
        <w:t xml:space="preserve"> </w:t>
      </w:r>
      <w:r>
        <w:rPr>
          <w:rFonts w:ascii="华文楷体" w:eastAsia="华文楷体" w:hAnsi="华文楷体" w:cs="华文楷体" w:hint="eastAsia"/>
        </w:rPr>
        <w:t>生</w:t>
      </w:r>
      <w:r>
        <w:rPr>
          <w:rFonts w:ascii="华文楷体" w:eastAsia="华文楷体" w:hAnsi="华文楷体" w:cs="华文楷体" w:hint="eastAsia"/>
        </w:rPr>
        <w:t xml:space="preserve"> </w:t>
      </w:r>
      <w:r>
        <w:rPr>
          <w:rFonts w:ascii="华文楷体" w:eastAsia="华文楷体" w:hAnsi="华文楷体" w:cs="华文楷体" w:hint="eastAsia"/>
        </w:rPr>
        <w:t>计</w:t>
      </w:r>
      <w:r>
        <w:rPr>
          <w:rFonts w:ascii="华文楷体" w:eastAsia="华文楷体" w:hAnsi="华文楷体" w:cs="华文楷体" w:hint="eastAsia"/>
        </w:rPr>
        <w:t xml:space="preserve"> </w:t>
      </w:r>
      <w:r>
        <w:rPr>
          <w:rFonts w:ascii="华文楷体" w:eastAsia="华文楷体" w:hAnsi="华文楷体" w:cs="华文楷体" w:hint="eastAsia"/>
        </w:rPr>
        <w:t>生</w:t>
      </w:r>
      <w:r>
        <w:rPr>
          <w:rFonts w:ascii="华文楷体" w:eastAsia="华文楷体" w:hAnsi="华文楷体" w:cs="华文楷体" w:hint="eastAsia"/>
        </w:rPr>
        <w:t xml:space="preserve"> </w:t>
      </w:r>
      <w:r>
        <w:rPr>
          <w:rFonts w:ascii="华文楷体" w:eastAsia="华文楷体" w:hAnsi="华文楷体" w:cs="华文楷体" w:hint="eastAsia"/>
        </w:rPr>
        <w:t>委</w:t>
      </w:r>
    </w:p>
    <w:p w14:paraId="2CF6A2B2"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lastRenderedPageBreak/>
        <w:t>海　关　总　署</w:t>
      </w:r>
    </w:p>
    <w:p w14:paraId="0CCC5DCF"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税　务　总　局</w:t>
      </w:r>
    </w:p>
    <w:p w14:paraId="17378B32"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工　商　总　局</w:t>
      </w:r>
    </w:p>
    <w:p w14:paraId="48E3AB18"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质　检　总　局</w:t>
      </w:r>
    </w:p>
    <w:p w14:paraId="61279ED2"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新闻出版广电总局</w:t>
      </w:r>
    </w:p>
    <w:p w14:paraId="4804B5BB"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体　育　总　局</w:t>
      </w:r>
    </w:p>
    <w:p w14:paraId="77BC9FCC"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食品药品监管总局</w:t>
      </w:r>
    </w:p>
    <w:p w14:paraId="1A4B3F49"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知</w:t>
      </w:r>
      <w:r>
        <w:rPr>
          <w:rFonts w:ascii="华文楷体" w:eastAsia="华文楷体" w:hAnsi="华文楷体" w:cs="华文楷体" w:hint="eastAsia"/>
        </w:rPr>
        <w:t xml:space="preserve"> </w:t>
      </w:r>
      <w:r>
        <w:rPr>
          <w:rFonts w:ascii="华文楷体" w:eastAsia="华文楷体" w:hAnsi="华文楷体" w:cs="华文楷体" w:hint="eastAsia"/>
        </w:rPr>
        <w:t>识</w:t>
      </w:r>
      <w:r>
        <w:rPr>
          <w:rFonts w:ascii="华文楷体" w:eastAsia="华文楷体" w:hAnsi="华文楷体" w:cs="华文楷体" w:hint="eastAsia"/>
        </w:rPr>
        <w:t xml:space="preserve"> </w:t>
      </w:r>
      <w:r>
        <w:rPr>
          <w:rFonts w:ascii="华文楷体" w:eastAsia="华文楷体" w:hAnsi="华文楷体" w:cs="华文楷体" w:hint="eastAsia"/>
        </w:rPr>
        <w:t>产</w:t>
      </w:r>
      <w:r>
        <w:rPr>
          <w:rFonts w:ascii="华文楷体" w:eastAsia="华文楷体" w:hAnsi="华文楷体" w:cs="华文楷体" w:hint="eastAsia"/>
        </w:rPr>
        <w:t xml:space="preserve"> </w:t>
      </w:r>
      <w:r>
        <w:rPr>
          <w:rFonts w:ascii="华文楷体" w:eastAsia="华文楷体" w:hAnsi="华文楷体" w:cs="华文楷体" w:hint="eastAsia"/>
        </w:rPr>
        <w:t>权</w:t>
      </w:r>
      <w:r>
        <w:rPr>
          <w:rFonts w:ascii="华文楷体" w:eastAsia="华文楷体" w:hAnsi="华文楷体" w:cs="华文楷体" w:hint="eastAsia"/>
        </w:rPr>
        <w:t xml:space="preserve"> </w:t>
      </w:r>
      <w:r>
        <w:rPr>
          <w:rFonts w:ascii="华文楷体" w:eastAsia="华文楷体" w:hAnsi="华文楷体" w:cs="华文楷体" w:hint="eastAsia"/>
        </w:rPr>
        <w:t>局</w:t>
      </w:r>
    </w:p>
    <w:p w14:paraId="53C795D5"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旅　　游　　局</w:t>
      </w:r>
    </w:p>
    <w:p w14:paraId="2ACBDCB4"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银　　监　　会</w:t>
      </w:r>
    </w:p>
    <w:p w14:paraId="69DEB470"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证　　监　　会</w:t>
      </w:r>
    </w:p>
    <w:p w14:paraId="1FBD1EBB"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保　　监　　会</w:t>
      </w:r>
    </w:p>
    <w:p w14:paraId="3550B0F2"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民　　航　　局</w:t>
      </w:r>
    </w:p>
    <w:p w14:paraId="73A0F28D"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文　　物　　局</w:t>
      </w:r>
    </w:p>
    <w:p w14:paraId="008605BC"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国务院扶贫办</w:t>
      </w:r>
    </w:p>
    <w:p w14:paraId="3096B02D"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全</w:t>
      </w:r>
      <w:r>
        <w:rPr>
          <w:rFonts w:ascii="华文楷体" w:eastAsia="华文楷体" w:hAnsi="华文楷体" w:cs="华文楷体" w:hint="eastAsia"/>
        </w:rPr>
        <w:t xml:space="preserve"> </w:t>
      </w:r>
      <w:r>
        <w:rPr>
          <w:rFonts w:ascii="华文楷体" w:eastAsia="华文楷体" w:hAnsi="华文楷体" w:cs="华文楷体" w:hint="eastAsia"/>
        </w:rPr>
        <w:t>国</w:t>
      </w:r>
      <w:r>
        <w:rPr>
          <w:rFonts w:ascii="华文楷体" w:eastAsia="华文楷体" w:hAnsi="华文楷体" w:cs="华文楷体" w:hint="eastAsia"/>
        </w:rPr>
        <w:t xml:space="preserve"> </w:t>
      </w:r>
      <w:r>
        <w:rPr>
          <w:rFonts w:ascii="华文楷体" w:eastAsia="华文楷体" w:hAnsi="华文楷体" w:cs="华文楷体" w:hint="eastAsia"/>
        </w:rPr>
        <w:t>总</w:t>
      </w:r>
      <w:r>
        <w:rPr>
          <w:rFonts w:ascii="华文楷体" w:eastAsia="华文楷体" w:hAnsi="华文楷体" w:cs="华文楷体" w:hint="eastAsia"/>
        </w:rPr>
        <w:t xml:space="preserve"> </w:t>
      </w:r>
      <w:r>
        <w:rPr>
          <w:rFonts w:ascii="华文楷体" w:eastAsia="华文楷体" w:hAnsi="华文楷体" w:cs="华文楷体" w:hint="eastAsia"/>
        </w:rPr>
        <w:t>工</w:t>
      </w:r>
      <w:r>
        <w:rPr>
          <w:rFonts w:ascii="华文楷体" w:eastAsia="华文楷体" w:hAnsi="华文楷体" w:cs="华文楷体" w:hint="eastAsia"/>
        </w:rPr>
        <w:t xml:space="preserve"> </w:t>
      </w:r>
      <w:r>
        <w:rPr>
          <w:rFonts w:ascii="华文楷体" w:eastAsia="华文楷体" w:hAnsi="华文楷体" w:cs="华文楷体" w:hint="eastAsia"/>
        </w:rPr>
        <w:t>会</w:t>
      </w:r>
    </w:p>
    <w:p w14:paraId="1FF16EA4"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共</w:t>
      </w:r>
      <w:r>
        <w:rPr>
          <w:rFonts w:ascii="华文楷体" w:eastAsia="华文楷体" w:hAnsi="华文楷体" w:cs="华文楷体" w:hint="eastAsia"/>
        </w:rPr>
        <w:t xml:space="preserve"> </w:t>
      </w:r>
      <w:r>
        <w:rPr>
          <w:rFonts w:ascii="华文楷体" w:eastAsia="华文楷体" w:hAnsi="华文楷体" w:cs="华文楷体" w:hint="eastAsia"/>
        </w:rPr>
        <w:t>青</w:t>
      </w:r>
      <w:r>
        <w:rPr>
          <w:rFonts w:ascii="华文楷体" w:eastAsia="华文楷体" w:hAnsi="华文楷体" w:cs="华文楷体" w:hint="eastAsia"/>
        </w:rPr>
        <w:t xml:space="preserve"> </w:t>
      </w:r>
      <w:r>
        <w:rPr>
          <w:rFonts w:ascii="华文楷体" w:eastAsia="华文楷体" w:hAnsi="华文楷体" w:cs="华文楷体" w:hint="eastAsia"/>
        </w:rPr>
        <w:t>团</w:t>
      </w:r>
      <w:r>
        <w:rPr>
          <w:rFonts w:ascii="华文楷体" w:eastAsia="华文楷体" w:hAnsi="华文楷体" w:cs="华文楷体" w:hint="eastAsia"/>
        </w:rPr>
        <w:t xml:space="preserve"> </w:t>
      </w:r>
      <w:r>
        <w:rPr>
          <w:rFonts w:ascii="华文楷体" w:eastAsia="华文楷体" w:hAnsi="华文楷体" w:cs="华文楷体" w:hint="eastAsia"/>
        </w:rPr>
        <w:t>中</w:t>
      </w:r>
      <w:r>
        <w:rPr>
          <w:rFonts w:ascii="华文楷体" w:eastAsia="华文楷体" w:hAnsi="华文楷体" w:cs="华文楷体" w:hint="eastAsia"/>
        </w:rPr>
        <w:t xml:space="preserve"> </w:t>
      </w:r>
      <w:r>
        <w:rPr>
          <w:rFonts w:ascii="华文楷体" w:eastAsia="华文楷体" w:hAnsi="华文楷体" w:cs="华文楷体" w:hint="eastAsia"/>
        </w:rPr>
        <w:t>央</w:t>
      </w:r>
    </w:p>
    <w:p w14:paraId="0C2E42B7"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全　国　妇　联</w:t>
      </w:r>
    </w:p>
    <w:p w14:paraId="65C219FE"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中　国　科　协</w:t>
      </w:r>
    </w:p>
    <w:p w14:paraId="626C0D9C"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贸　　促　　会</w:t>
      </w:r>
    </w:p>
    <w:p w14:paraId="66530438"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铁</w:t>
      </w:r>
      <w:r>
        <w:rPr>
          <w:rFonts w:ascii="华文楷体" w:eastAsia="华文楷体" w:hAnsi="华文楷体" w:cs="华文楷体" w:hint="eastAsia"/>
        </w:rPr>
        <w:t xml:space="preserve"> </w:t>
      </w:r>
      <w:r>
        <w:rPr>
          <w:rFonts w:ascii="华文楷体" w:eastAsia="华文楷体" w:hAnsi="华文楷体" w:cs="华文楷体" w:hint="eastAsia"/>
        </w:rPr>
        <w:t>路</w:t>
      </w:r>
      <w:r>
        <w:rPr>
          <w:rFonts w:ascii="华文楷体" w:eastAsia="华文楷体" w:hAnsi="华文楷体" w:cs="华文楷体" w:hint="eastAsia"/>
        </w:rPr>
        <w:t xml:space="preserve"> </w:t>
      </w:r>
      <w:r>
        <w:rPr>
          <w:rFonts w:ascii="华文楷体" w:eastAsia="华文楷体" w:hAnsi="华文楷体" w:cs="华文楷体" w:hint="eastAsia"/>
        </w:rPr>
        <w:t>总</w:t>
      </w:r>
      <w:r>
        <w:rPr>
          <w:rFonts w:ascii="华文楷体" w:eastAsia="华文楷体" w:hAnsi="华文楷体" w:cs="华文楷体" w:hint="eastAsia"/>
        </w:rPr>
        <w:t xml:space="preserve"> </w:t>
      </w:r>
      <w:r>
        <w:rPr>
          <w:rFonts w:ascii="华文楷体" w:eastAsia="华文楷体" w:hAnsi="华文楷体" w:cs="华文楷体" w:hint="eastAsia"/>
        </w:rPr>
        <w:t>公</w:t>
      </w:r>
      <w:r>
        <w:rPr>
          <w:rFonts w:ascii="华文楷体" w:eastAsia="华文楷体" w:hAnsi="华文楷体" w:cs="华文楷体" w:hint="eastAsia"/>
        </w:rPr>
        <w:t xml:space="preserve"> </w:t>
      </w:r>
      <w:r>
        <w:rPr>
          <w:rFonts w:ascii="华文楷体" w:eastAsia="华文楷体" w:hAnsi="华文楷体" w:cs="华文楷体" w:hint="eastAsia"/>
        </w:rPr>
        <w:t>司</w:t>
      </w:r>
    </w:p>
    <w:p w14:paraId="19D5BD6D"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2018</w:t>
      </w:r>
      <w:r>
        <w:rPr>
          <w:rFonts w:ascii="华文楷体" w:eastAsia="华文楷体" w:hAnsi="华文楷体" w:cs="华文楷体" w:hint="eastAsia"/>
        </w:rPr>
        <w:t>年</w:t>
      </w:r>
      <w:r>
        <w:rPr>
          <w:rFonts w:ascii="华文楷体" w:eastAsia="华文楷体" w:hAnsi="华文楷体" w:cs="华文楷体" w:hint="eastAsia"/>
        </w:rPr>
        <w:t>2</w:t>
      </w:r>
      <w:r>
        <w:rPr>
          <w:rFonts w:ascii="华文楷体" w:eastAsia="华文楷体" w:hAnsi="华文楷体" w:cs="华文楷体" w:hint="eastAsia"/>
        </w:rPr>
        <w:t>月</w:t>
      </w:r>
      <w:r>
        <w:rPr>
          <w:rFonts w:ascii="华文楷体" w:eastAsia="华文楷体" w:hAnsi="华文楷体" w:cs="华文楷体" w:hint="eastAsia"/>
        </w:rPr>
        <w:t>11</w:t>
      </w:r>
      <w:r>
        <w:rPr>
          <w:rFonts w:ascii="华文楷体" w:eastAsia="华文楷体" w:hAnsi="华文楷体" w:cs="华文楷体" w:hint="eastAsia"/>
        </w:rPr>
        <w:t>日</w:t>
      </w:r>
    </w:p>
    <w:p w14:paraId="37D0B359" w14:textId="77777777" w:rsidR="00ED5EBF" w:rsidRDefault="002034C8">
      <w:pPr>
        <w:spacing w:line="360" w:lineRule="auto"/>
        <w:jc w:val="center"/>
        <w:rPr>
          <w:rFonts w:ascii="华文中宋" w:eastAsia="华文中宋" w:hAnsi="华文中宋" w:cs="华文中宋"/>
          <w:b/>
          <w:bCs/>
        </w:rPr>
      </w:pPr>
      <w:bookmarkStart w:id="16" w:name="关于在一定期限内适当限制特定严重失信人乘坐火车推动社会信用体系建设的意见"/>
      <w:r>
        <w:rPr>
          <w:rFonts w:ascii="华文中宋" w:eastAsia="华文中宋" w:hAnsi="华文中宋" w:cs="华文中宋" w:hint="eastAsia"/>
          <w:b/>
          <w:bCs/>
        </w:rPr>
        <w:lastRenderedPageBreak/>
        <w:t>关于在一定期限内适当限制特定严重失信人</w:t>
      </w:r>
    </w:p>
    <w:p w14:paraId="5C7D3260" w14:textId="77777777" w:rsidR="00ED5EBF" w:rsidRDefault="002034C8">
      <w:pPr>
        <w:spacing w:line="360" w:lineRule="auto"/>
        <w:jc w:val="center"/>
        <w:rPr>
          <w:rFonts w:ascii="华文中宋" w:eastAsia="华文中宋" w:hAnsi="华文中宋" w:cs="华文中宋"/>
          <w:b/>
          <w:bCs/>
        </w:rPr>
      </w:pPr>
      <w:r>
        <w:rPr>
          <w:rFonts w:ascii="华文中宋" w:eastAsia="华文中宋" w:hAnsi="华文中宋" w:cs="华文中宋" w:hint="eastAsia"/>
          <w:b/>
          <w:bCs/>
        </w:rPr>
        <w:t>乘坐火车</w:t>
      </w:r>
      <w:r>
        <w:rPr>
          <w:rFonts w:ascii="华文中宋" w:eastAsia="华文中宋" w:hAnsi="华文中宋" w:cs="华文中宋" w:hint="eastAsia"/>
          <w:b/>
          <w:bCs/>
        </w:rPr>
        <w:t xml:space="preserve"> </w:t>
      </w:r>
      <w:r>
        <w:rPr>
          <w:rFonts w:ascii="华文中宋" w:eastAsia="华文中宋" w:hAnsi="华文中宋" w:cs="华文中宋" w:hint="eastAsia"/>
          <w:b/>
          <w:bCs/>
        </w:rPr>
        <w:t>推动社会信用体系建设的意见</w:t>
      </w:r>
      <w:bookmarkEnd w:id="16"/>
    </w:p>
    <w:p w14:paraId="4A026CEF" w14:textId="77777777" w:rsidR="00ED5EBF" w:rsidRDefault="002034C8">
      <w:pPr>
        <w:spacing w:line="360" w:lineRule="auto"/>
        <w:jc w:val="center"/>
        <w:rPr>
          <w:rFonts w:ascii="华文楷体" w:eastAsia="华文楷体" w:hAnsi="华文楷体" w:cs="华文楷体"/>
          <w:sz w:val="21"/>
          <w:szCs w:val="21"/>
        </w:rPr>
      </w:pPr>
      <w:r>
        <w:rPr>
          <w:rFonts w:ascii="华文楷体" w:eastAsia="华文楷体" w:hAnsi="华文楷体" w:cs="华文楷体" w:hint="eastAsia"/>
        </w:rPr>
        <w:t xml:space="preserve"> </w:t>
      </w:r>
      <w:r>
        <w:rPr>
          <w:rFonts w:ascii="华文楷体" w:eastAsia="华文楷体" w:hAnsi="华文楷体" w:cs="华文楷体" w:hint="eastAsia"/>
          <w:sz w:val="21"/>
          <w:szCs w:val="21"/>
        </w:rPr>
        <w:t>日期：</w:t>
      </w:r>
      <w:r>
        <w:rPr>
          <w:rFonts w:ascii="华文楷体" w:eastAsia="华文楷体" w:hAnsi="华文楷体" w:cs="华文楷体" w:hint="eastAsia"/>
          <w:sz w:val="21"/>
          <w:szCs w:val="21"/>
        </w:rPr>
        <w:t>2018</w:t>
      </w:r>
      <w:r>
        <w:rPr>
          <w:rFonts w:ascii="华文楷体" w:eastAsia="华文楷体" w:hAnsi="华文楷体" w:cs="华文楷体" w:hint="eastAsia"/>
          <w:sz w:val="21"/>
          <w:szCs w:val="21"/>
        </w:rPr>
        <w:t>年</w:t>
      </w:r>
      <w:r>
        <w:rPr>
          <w:rFonts w:ascii="华文楷体" w:eastAsia="华文楷体" w:hAnsi="华文楷体" w:cs="华文楷体" w:hint="eastAsia"/>
          <w:sz w:val="21"/>
          <w:szCs w:val="21"/>
        </w:rPr>
        <w:t>3</w:t>
      </w:r>
      <w:r>
        <w:rPr>
          <w:rFonts w:ascii="华文楷体" w:eastAsia="华文楷体" w:hAnsi="华文楷体" w:cs="华文楷体" w:hint="eastAsia"/>
          <w:sz w:val="21"/>
          <w:szCs w:val="21"/>
        </w:rPr>
        <w:t>月</w:t>
      </w:r>
      <w:r>
        <w:rPr>
          <w:rFonts w:ascii="华文楷体" w:eastAsia="华文楷体" w:hAnsi="华文楷体" w:cs="华文楷体" w:hint="eastAsia"/>
          <w:sz w:val="21"/>
          <w:szCs w:val="21"/>
        </w:rPr>
        <w:t>16</w:t>
      </w:r>
      <w:r>
        <w:rPr>
          <w:rFonts w:ascii="华文楷体" w:eastAsia="华文楷体" w:hAnsi="华文楷体" w:cs="华文楷体" w:hint="eastAsia"/>
          <w:sz w:val="21"/>
          <w:szCs w:val="21"/>
        </w:rPr>
        <w:t>日</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来源：国家发展和改革委员会</w:t>
      </w:r>
    </w:p>
    <w:p w14:paraId="5A19E16B" w14:textId="77777777" w:rsidR="00ED5EBF" w:rsidRDefault="00ED5EBF">
      <w:pPr>
        <w:spacing w:line="360" w:lineRule="auto"/>
        <w:jc w:val="left"/>
        <w:rPr>
          <w:rFonts w:ascii="华文楷体" w:eastAsia="华文楷体" w:hAnsi="华文楷体" w:cs="华文楷体"/>
        </w:rPr>
      </w:pPr>
    </w:p>
    <w:p w14:paraId="2DE9A27C"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发改财金〔</w:t>
      </w:r>
      <w:r>
        <w:rPr>
          <w:rFonts w:ascii="华文楷体" w:eastAsia="华文楷体" w:hAnsi="华文楷体" w:cs="华文楷体" w:hint="eastAsia"/>
        </w:rPr>
        <w:t>2018</w:t>
      </w:r>
      <w:r>
        <w:rPr>
          <w:rFonts w:ascii="华文楷体" w:eastAsia="华文楷体" w:hAnsi="华文楷体" w:cs="华文楷体" w:hint="eastAsia"/>
        </w:rPr>
        <w:t>〕</w:t>
      </w:r>
      <w:r>
        <w:rPr>
          <w:rFonts w:ascii="华文楷体" w:eastAsia="华文楷体" w:hAnsi="华文楷体" w:cs="华文楷体" w:hint="eastAsia"/>
        </w:rPr>
        <w:t>384</w:t>
      </w:r>
      <w:r>
        <w:rPr>
          <w:rFonts w:ascii="华文楷体" w:eastAsia="华文楷体" w:hAnsi="华文楷体" w:cs="华文楷体" w:hint="eastAsia"/>
        </w:rPr>
        <w:t>号</w:t>
      </w:r>
    </w:p>
    <w:p w14:paraId="770B3600"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w:t>
      </w:r>
    </w:p>
    <w:p w14:paraId="04239EBB"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各省、自治区、直辖市、新疆生产建设兵团社会信用体系建设牵头单位、文明办、高级人民法院、财政厅（局）、人力资源社会保障厅（局）、国家税务局、地方税务局，中国证监会各派出机构，铁路运输企业、铁科院、各铁路公安局：</w:t>
      </w:r>
    </w:p>
    <w:p w14:paraId="658D21CE"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为深入学习贯彻习近平新时代中国特色社会主义思想和党的十九大精神，落实习近平总书记关于构建“一处失信、处处受限”信用惩戒大格局的</w:t>
      </w:r>
      <w:r>
        <w:rPr>
          <w:rFonts w:ascii="华文楷体" w:eastAsia="华文楷体" w:hAnsi="华文楷体" w:cs="华文楷体" w:hint="eastAsia"/>
        </w:rPr>
        <w:t>重要指示，按照《国务院关于建立完善守信联合激励和失信联合惩戒制度加快推进社会诚信建设的指导意见》（国发〔</w:t>
      </w:r>
      <w:r>
        <w:rPr>
          <w:rFonts w:ascii="华文楷体" w:eastAsia="华文楷体" w:hAnsi="华文楷体" w:cs="华文楷体" w:hint="eastAsia"/>
        </w:rPr>
        <w:t>2016</w:t>
      </w:r>
      <w:r>
        <w:rPr>
          <w:rFonts w:ascii="华文楷体" w:eastAsia="华文楷体" w:hAnsi="华文楷体" w:cs="华文楷体" w:hint="eastAsia"/>
        </w:rPr>
        <w:t>〕</w:t>
      </w:r>
      <w:r>
        <w:rPr>
          <w:rFonts w:ascii="华文楷体" w:eastAsia="华文楷体" w:hAnsi="华文楷体" w:cs="华文楷体" w:hint="eastAsia"/>
        </w:rPr>
        <w:t>33</w:t>
      </w:r>
      <w:r>
        <w:rPr>
          <w:rFonts w:ascii="华文楷体" w:eastAsia="华文楷体" w:hAnsi="华文楷体" w:cs="华文楷体" w:hint="eastAsia"/>
        </w:rPr>
        <w:t>号）要求，防范部分旅客违法失信行为对铁路运行安全的不利影响，进一步加大对其他领域严重违法失信行为的惩戒力度，现就限制特定严重失信人乘坐火车提出以下意见。</w:t>
      </w:r>
    </w:p>
    <w:p w14:paraId="7256CCAD" w14:textId="77777777" w:rsidR="00ED5EBF" w:rsidRDefault="002034C8">
      <w:pPr>
        <w:spacing w:line="360" w:lineRule="auto"/>
        <w:jc w:val="left"/>
        <w:rPr>
          <w:rFonts w:ascii="华文楷体" w:eastAsia="华文楷体" w:hAnsi="华文楷体" w:cs="华文楷体"/>
          <w:b/>
          <w:bCs/>
        </w:rPr>
      </w:pPr>
      <w:r>
        <w:rPr>
          <w:rFonts w:ascii="华文楷体" w:eastAsia="华文楷体" w:hAnsi="华文楷体" w:cs="华文楷体" w:hint="eastAsia"/>
          <w:b/>
          <w:bCs/>
        </w:rPr>
        <w:t xml:space="preserve">　　一、限制范围</w:t>
      </w:r>
    </w:p>
    <w:p w14:paraId="06F6F7D2" w14:textId="77777777" w:rsidR="00ED5EBF" w:rsidRDefault="002034C8">
      <w:pPr>
        <w:spacing w:line="360" w:lineRule="auto"/>
        <w:jc w:val="left"/>
        <w:rPr>
          <w:rFonts w:ascii="华文楷体" w:eastAsia="华文楷体" w:hAnsi="华文楷体" w:cs="华文楷体"/>
          <w:b/>
          <w:bCs/>
        </w:rPr>
      </w:pPr>
      <w:r>
        <w:rPr>
          <w:rFonts w:ascii="华文楷体" w:eastAsia="华文楷体" w:hAnsi="华文楷体" w:cs="华文楷体" w:hint="eastAsia"/>
          <w:b/>
          <w:bCs/>
        </w:rPr>
        <w:t xml:space="preserve">　　（一）严重影响铁路运行安全和生产安全有关的行为责任人被公安机关处罚或铁路站车单位认定的</w:t>
      </w:r>
    </w:p>
    <w:p w14:paraId="4B8DE737"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1.</w:t>
      </w:r>
      <w:r>
        <w:rPr>
          <w:rFonts w:ascii="华文楷体" w:eastAsia="华文楷体" w:hAnsi="华文楷体" w:cs="华文楷体" w:hint="eastAsia"/>
        </w:rPr>
        <w:t>扰乱铁路站车运输秩序且危及铁路安全、造成严重社会不良影响的；</w:t>
      </w:r>
    </w:p>
    <w:p w14:paraId="1DEBFE1A"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2.</w:t>
      </w:r>
      <w:r>
        <w:rPr>
          <w:rFonts w:ascii="华文楷体" w:eastAsia="华文楷体" w:hAnsi="华文楷体" w:cs="华文楷体" w:hint="eastAsia"/>
        </w:rPr>
        <w:t>在动车组列车上吸烟或者在其他列车的禁烟区域吸烟的；</w:t>
      </w:r>
    </w:p>
    <w:p w14:paraId="017FEC1D"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3.</w:t>
      </w:r>
      <w:r>
        <w:rPr>
          <w:rFonts w:ascii="华文楷体" w:eastAsia="华文楷体" w:hAnsi="华文楷体" w:cs="华文楷体" w:hint="eastAsia"/>
        </w:rPr>
        <w:t>查处的倒卖车票、制贩假票的；</w:t>
      </w:r>
    </w:p>
    <w:p w14:paraId="2391BEA6"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4.</w:t>
      </w:r>
      <w:r>
        <w:rPr>
          <w:rFonts w:ascii="华文楷体" w:eastAsia="华文楷体" w:hAnsi="华文楷体" w:cs="华文楷体" w:hint="eastAsia"/>
        </w:rPr>
        <w:t>冒用优惠（待）身份证件、使用伪造或无效优惠（待）身份证件购票乘车</w:t>
      </w:r>
      <w:r>
        <w:rPr>
          <w:rFonts w:ascii="华文楷体" w:eastAsia="华文楷体" w:hAnsi="华文楷体" w:cs="华文楷体" w:hint="eastAsia"/>
        </w:rPr>
        <w:lastRenderedPageBreak/>
        <w:t>的；</w:t>
      </w:r>
    </w:p>
    <w:p w14:paraId="294B9CEE"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5.</w:t>
      </w:r>
      <w:r>
        <w:rPr>
          <w:rFonts w:ascii="华文楷体" w:eastAsia="华文楷体" w:hAnsi="华文楷体" w:cs="华文楷体" w:hint="eastAsia"/>
        </w:rPr>
        <w:t>持伪造、过期等无效车票或冒用挂失补车票乘车的；</w:t>
      </w:r>
    </w:p>
    <w:p w14:paraId="54D02566"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6.</w:t>
      </w:r>
      <w:r>
        <w:rPr>
          <w:rFonts w:ascii="华文楷体" w:eastAsia="华文楷体" w:hAnsi="华文楷体" w:cs="华文楷体" w:hint="eastAsia"/>
        </w:rPr>
        <w:t>无票乘车、越站（席）乘车且拒不补票的；</w:t>
      </w:r>
    </w:p>
    <w:p w14:paraId="50378E76"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7.</w:t>
      </w:r>
      <w:r>
        <w:rPr>
          <w:rFonts w:ascii="华文楷体" w:eastAsia="华文楷体" w:hAnsi="华文楷体" w:cs="华文楷体" w:hint="eastAsia"/>
        </w:rPr>
        <w:t>依据相关法律法规应予以行政处罚的。</w:t>
      </w:r>
    </w:p>
    <w:p w14:paraId="7E612346"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对上述行为责任人限制乘坐火车。</w:t>
      </w:r>
    </w:p>
    <w:p w14:paraId="6F932F89" w14:textId="77777777" w:rsidR="00ED5EBF" w:rsidRDefault="002034C8">
      <w:pPr>
        <w:spacing w:line="360" w:lineRule="auto"/>
        <w:jc w:val="left"/>
        <w:rPr>
          <w:rFonts w:ascii="华文楷体" w:eastAsia="华文楷体" w:hAnsi="华文楷体" w:cs="华文楷体"/>
          <w:b/>
          <w:bCs/>
        </w:rPr>
      </w:pPr>
      <w:r>
        <w:rPr>
          <w:rFonts w:ascii="华文楷体" w:eastAsia="华文楷体" w:hAnsi="华文楷体" w:cs="华文楷体" w:hint="eastAsia"/>
          <w:b/>
          <w:bCs/>
        </w:rPr>
        <w:t xml:space="preserve">　　（二）其他领域的严重违法失信行为有关责任人</w:t>
      </w:r>
    </w:p>
    <w:p w14:paraId="7C938564"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1.</w:t>
      </w:r>
      <w:r>
        <w:rPr>
          <w:rFonts w:ascii="华文楷体" w:eastAsia="华文楷体" w:hAnsi="华文楷体" w:cs="华文楷体" w:hint="eastAsia"/>
        </w:rPr>
        <w:t>有履行能力但拒不履行的重大税收违法案件当事人；</w:t>
      </w:r>
    </w:p>
    <w:p w14:paraId="42713973"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2.</w:t>
      </w:r>
      <w:r>
        <w:rPr>
          <w:rFonts w:ascii="华文楷体" w:eastAsia="华文楷体" w:hAnsi="华文楷体" w:cs="华文楷体" w:hint="eastAsia"/>
        </w:rPr>
        <w:t>在财政性资金管理使用领域中存在弄虚作假、虚报冒领、骗取套取、截留挪用、拖欠国际金融组织和外国政府到期债务的严重失信行为责任人；</w:t>
      </w:r>
    </w:p>
    <w:p w14:paraId="0CB5CED1"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3.</w:t>
      </w:r>
      <w:r>
        <w:rPr>
          <w:rFonts w:ascii="华文楷体" w:eastAsia="华文楷体" w:hAnsi="华文楷体" w:cs="华文楷体" w:hint="eastAsia"/>
        </w:rPr>
        <w:t>在社会保险领域中存在以下情形的严重失信行为责任人：用人单位未按相关规定参加社会保险且拒不整改的；用人单位未如实申报社会保险缴费基数且拒不整改的；应缴纳社会保险费且具备缴纳能力但拒不缴纳的；隐匿、转移、侵占、挪用社会保险基金或者违规投资运营的；以欺诈、伪造证明材料或者其他手段骗取社会保险待遇的；社会保险服务机构违反服务协议或相关规定的；拒绝协助社会保险行政部门对事故和</w:t>
      </w:r>
      <w:r>
        <w:rPr>
          <w:rFonts w:ascii="华文楷体" w:eastAsia="华文楷体" w:hAnsi="华文楷体" w:cs="华文楷体" w:hint="eastAsia"/>
        </w:rPr>
        <w:t>问题进行调查核实的；</w:t>
      </w:r>
    </w:p>
    <w:p w14:paraId="35CBD9D4"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4.</w:t>
      </w:r>
      <w:r>
        <w:rPr>
          <w:rFonts w:ascii="华文楷体" w:eastAsia="华文楷体" w:hAnsi="华文楷体" w:cs="华文楷体" w:hint="eastAsia"/>
        </w:rPr>
        <w:t>证券、期货违法被处以罚没款，逾期未缴纳的；上市公司相关责任主体逾期不履行公开承诺的；</w:t>
      </w:r>
    </w:p>
    <w:p w14:paraId="687072CE"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5.</w:t>
      </w:r>
      <w:r>
        <w:rPr>
          <w:rFonts w:ascii="华文楷体" w:eastAsia="华文楷体" w:hAnsi="华文楷体" w:cs="华文楷体" w:hint="eastAsia"/>
        </w:rPr>
        <w:t>被人民法院按照有关规定依法采取限制消费措施，或依法纳入失信被执行名单的；</w:t>
      </w:r>
    </w:p>
    <w:p w14:paraId="3CF12C0B"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6.</w:t>
      </w:r>
      <w:r>
        <w:rPr>
          <w:rFonts w:ascii="华文楷体" w:eastAsia="华文楷体" w:hAnsi="华文楷体" w:cs="华文楷体" w:hint="eastAsia"/>
        </w:rPr>
        <w:t>相关部门认定的其他限制乘坐火车高级别席位的严重失信行为责任人，相关部门加入本文件的，应当通过修改本文件的方式予以明确。</w:t>
      </w:r>
    </w:p>
    <w:p w14:paraId="0B33685B"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对上述行为责任人限制乘坐火车高级别席位，包括列车软卧、</w:t>
      </w:r>
      <w:r>
        <w:rPr>
          <w:rFonts w:ascii="华文楷体" w:eastAsia="华文楷体" w:hAnsi="华文楷体" w:cs="华文楷体" w:hint="eastAsia"/>
        </w:rPr>
        <w:t>G</w:t>
      </w:r>
      <w:r>
        <w:rPr>
          <w:rFonts w:ascii="华文楷体" w:eastAsia="华文楷体" w:hAnsi="华文楷体" w:cs="华文楷体" w:hint="eastAsia"/>
        </w:rPr>
        <w:t>字头动车组</w:t>
      </w:r>
      <w:r>
        <w:rPr>
          <w:rFonts w:ascii="华文楷体" w:eastAsia="华文楷体" w:hAnsi="华文楷体" w:cs="华文楷体" w:hint="eastAsia"/>
        </w:rPr>
        <w:lastRenderedPageBreak/>
        <w:t>列车全部座位、其他动车组列车一等座以上座位。</w:t>
      </w:r>
    </w:p>
    <w:p w14:paraId="4E37340A" w14:textId="77777777" w:rsidR="00ED5EBF" w:rsidRDefault="002034C8">
      <w:pPr>
        <w:spacing w:line="360" w:lineRule="auto"/>
        <w:jc w:val="left"/>
        <w:rPr>
          <w:rFonts w:ascii="华文楷体" w:eastAsia="华文楷体" w:hAnsi="华文楷体" w:cs="华文楷体"/>
          <w:b/>
          <w:bCs/>
        </w:rPr>
      </w:pPr>
      <w:r>
        <w:rPr>
          <w:rFonts w:ascii="华文楷体" w:eastAsia="华文楷体" w:hAnsi="华文楷体" w:cs="华文楷体" w:hint="eastAsia"/>
        </w:rPr>
        <w:t xml:space="preserve">　　</w:t>
      </w:r>
      <w:r>
        <w:rPr>
          <w:rFonts w:ascii="华文楷体" w:eastAsia="华文楷体" w:hAnsi="华文楷体" w:cs="华文楷体" w:hint="eastAsia"/>
          <w:b/>
          <w:bCs/>
        </w:rPr>
        <w:t>二、信息采集</w:t>
      </w:r>
    </w:p>
    <w:p w14:paraId="36D43A53" w14:textId="77777777" w:rsidR="00ED5EBF" w:rsidRDefault="002034C8">
      <w:pPr>
        <w:spacing w:line="360" w:lineRule="auto"/>
        <w:jc w:val="left"/>
        <w:rPr>
          <w:rFonts w:ascii="华文楷体" w:eastAsia="华文楷体" w:hAnsi="华文楷体" w:cs="华文楷体"/>
          <w:b/>
          <w:bCs/>
        </w:rPr>
      </w:pPr>
      <w:r>
        <w:rPr>
          <w:rFonts w:ascii="华文楷体" w:eastAsia="华文楷体" w:hAnsi="华文楷体" w:cs="华文楷体" w:hint="eastAsia"/>
          <w:b/>
          <w:bCs/>
        </w:rPr>
        <w:t xml:space="preserve">　　（一）铁路旅客相关失信信息采集</w:t>
      </w:r>
    </w:p>
    <w:p w14:paraId="06CE6210"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在铁路站车发生上述行为，被公安机关予以行政处罚或立为刑事案件的，由相关铁路公安局通报相关铁路局集团有限公司，并纳入惩戒名单。未被公安机关处理的上述行为，由铁路站车工作人员收集有关音视频证据或</w:t>
      </w:r>
      <w:r>
        <w:rPr>
          <w:rFonts w:ascii="华文楷体" w:eastAsia="华文楷体" w:hAnsi="华文楷体" w:cs="华文楷体" w:hint="eastAsia"/>
        </w:rPr>
        <w:t>2</w:t>
      </w:r>
      <w:r>
        <w:rPr>
          <w:rFonts w:ascii="华文楷体" w:eastAsia="华文楷体" w:hAnsi="华文楷体" w:cs="华文楷体" w:hint="eastAsia"/>
        </w:rPr>
        <w:t>名旅客以上的证人证言或行为责任人本人书面证明，报铁路运输企业审核、认定后，纳入惩戒名单。</w:t>
      </w:r>
    </w:p>
    <w:p w14:paraId="3694C679" w14:textId="77777777" w:rsidR="00ED5EBF" w:rsidRDefault="002034C8">
      <w:pPr>
        <w:spacing w:line="360" w:lineRule="auto"/>
        <w:jc w:val="left"/>
        <w:rPr>
          <w:rFonts w:ascii="华文楷体" w:eastAsia="华文楷体" w:hAnsi="华文楷体" w:cs="华文楷体"/>
          <w:b/>
          <w:bCs/>
        </w:rPr>
      </w:pPr>
      <w:r>
        <w:rPr>
          <w:rFonts w:ascii="华文楷体" w:eastAsia="华文楷体" w:hAnsi="华文楷体" w:cs="华文楷体" w:hint="eastAsia"/>
        </w:rPr>
        <w:t xml:space="preserve">　</w:t>
      </w:r>
      <w:r>
        <w:rPr>
          <w:rFonts w:ascii="华文楷体" w:eastAsia="华文楷体" w:hAnsi="华文楷体" w:cs="华文楷体" w:hint="eastAsia"/>
          <w:b/>
          <w:bCs/>
        </w:rPr>
        <w:t xml:space="preserve">　（二）其他领域相关失信信息采集</w:t>
      </w:r>
    </w:p>
    <w:p w14:paraId="048ECE74"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国家发展改革委、最高人民法院、财政部、人力资源社会保障部、税务总局、证监会将本部门确定的因发生严重失信行为需要纳入限制乘火车高级别席位的名单归集至全国信用信息共享平台，由平台推送给铁路总</w:t>
      </w:r>
      <w:r>
        <w:rPr>
          <w:rFonts w:ascii="华文楷体" w:eastAsia="华文楷体" w:hAnsi="华文楷体" w:cs="华文楷体" w:hint="eastAsia"/>
        </w:rPr>
        <w:t>公司，由其按国家规定程序纳入限制乘火车高级别席位名单。如果之前已和铁路总公司建立数据传输通道的、实现名单信息共享的，可以保持原数据传统通道和信息共享方式，全国信用信息共享平台不再重复推送名单信息。</w:t>
      </w:r>
    </w:p>
    <w:p w14:paraId="7592D7FB"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向铁路总公司提供的名单信息应当包括：被列入限制乘火车高级别席位名单人员的姓名、旅行证件号码、列入原因，有作为依据的法律文书的，还应当提供该法律文书的名称与编号。有关部门应当确定名单异议处理人，并通报铁路总公司。</w:t>
      </w:r>
    </w:p>
    <w:p w14:paraId="1D74BFF5" w14:textId="77777777" w:rsidR="00ED5EBF" w:rsidRDefault="002034C8">
      <w:pPr>
        <w:spacing w:line="360" w:lineRule="auto"/>
        <w:jc w:val="left"/>
        <w:rPr>
          <w:rFonts w:ascii="华文楷体" w:eastAsia="华文楷体" w:hAnsi="华文楷体" w:cs="华文楷体"/>
          <w:b/>
          <w:bCs/>
        </w:rPr>
      </w:pPr>
      <w:r>
        <w:rPr>
          <w:rFonts w:ascii="华文楷体" w:eastAsia="华文楷体" w:hAnsi="华文楷体" w:cs="华文楷体" w:hint="eastAsia"/>
        </w:rPr>
        <w:t xml:space="preserve">　</w:t>
      </w:r>
      <w:r>
        <w:rPr>
          <w:rFonts w:ascii="华文楷体" w:eastAsia="华文楷体" w:hAnsi="华文楷体" w:cs="华文楷体" w:hint="eastAsia"/>
          <w:b/>
          <w:bCs/>
        </w:rPr>
        <w:t xml:space="preserve">　三、发布执行和权利救济</w:t>
      </w:r>
    </w:p>
    <w:p w14:paraId="22F4D294"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各铁路运输企业每月第一个工作日在中国铁路客户服务中心（</w:t>
      </w:r>
      <w:r>
        <w:rPr>
          <w:rFonts w:ascii="华文楷体" w:eastAsia="华文楷体" w:hAnsi="华文楷体" w:cs="华文楷体" w:hint="eastAsia"/>
        </w:rPr>
        <w:t>12306</w:t>
      </w:r>
      <w:r>
        <w:rPr>
          <w:rFonts w:ascii="华文楷体" w:eastAsia="华文楷体" w:hAnsi="华文楷体" w:cs="华文楷体" w:hint="eastAsia"/>
        </w:rPr>
        <w:t>）</w:t>
      </w:r>
      <w:r>
        <w:rPr>
          <w:rFonts w:ascii="华文楷体" w:eastAsia="华文楷体" w:hAnsi="华文楷体" w:cs="华文楷体" w:hint="eastAsia"/>
        </w:rPr>
        <w:t>网站、“信用中国”网站发布限制购买车票人员名单的完整信息，有关部门的异议处理人</w:t>
      </w:r>
      <w:r>
        <w:rPr>
          <w:rFonts w:ascii="华文楷体" w:eastAsia="华文楷体" w:hAnsi="华文楷体" w:cs="华文楷体" w:hint="eastAsia"/>
        </w:rPr>
        <w:lastRenderedPageBreak/>
        <w:t>联系方式应当同时公布。名单自发布之日起</w:t>
      </w:r>
      <w:r>
        <w:rPr>
          <w:rFonts w:ascii="华文楷体" w:eastAsia="华文楷体" w:hAnsi="华文楷体" w:cs="华文楷体" w:hint="eastAsia"/>
        </w:rPr>
        <w:t>7</w:t>
      </w:r>
      <w:r>
        <w:rPr>
          <w:rFonts w:ascii="华文楷体" w:eastAsia="华文楷体" w:hAnsi="华文楷体" w:cs="华文楷体" w:hint="eastAsia"/>
        </w:rPr>
        <w:t>个工作日为公示期，公示期内，被公示人可通过铁路“</w:t>
      </w:r>
      <w:r>
        <w:rPr>
          <w:rFonts w:ascii="华文楷体" w:eastAsia="华文楷体" w:hAnsi="华文楷体" w:cs="华文楷体" w:hint="eastAsia"/>
        </w:rPr>
        <w:t>12306</w:t>
      </w:r>
      <w:r>
        <w:rPr>
          <w:rFonts w:ascii="华文楷体" w:eastAsia="华文楷体" w:hAnsi="华文楷体" w:cs="华文楷体" w:hint="eastAsia"/>
        </w:rPr>
        <w:t>”客服电话或向有关部门提出异议，公示期满，被公示人未提出异议或者提出异议经审查未予支持的，各铁路运输企业开始按照公示名单执行惩戒措施。被纳入限制购买车票名单的人员认为纳入错误的，可以向有关机关、单位提起复核。</w:t>
      </w:r>
    </w:p>
    <w:p w14:paraId="253F3090" w14:textId="77777777" w:rsidR="00ED5EBF" w:rsidRDefault="002034C8">
      <w:pPr>
        <w:spacing w:line="360" w:lineRule="auto"/>
        <w:jc w:val="left"/>
        <w:rPr>
          <w:rFonts w:ascii="华文楷体" w:eastAsia="华文楷体" w:hAnsi="华文楷体" w:cs="华文楷体"/>
          <w:b/>
          <w:bCs/>
        </w:rPr>
      </w:pPr>
      <w:r>
        <w:rPr>
          <w:rFonts w:ascii="华文楷体" w:eastAsia="华文楷体" w:hAnsi="华文楷体" w:cs="华文楷体" w:hint="eastAsia"/>
        </w:rPr>
        <w:t xml:space="preserve">　　</w:t>
      </w:r>
      <w:r>
        <w:rPr>
          <w:rFonts w:ascii="华文楷体" w:eastAsia="华文楷体" w:hAnsi="华文楷体" w:cs="华文楷体" w:hint="eastAsia"/>
          <w:b/>
          <w:bCs/>
        </w:rPr>
        <w:t>四、移除机制</w:t>
      </w:r>
    </w:p>
    <w:p w14:paraId="0436D204"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对特定严重失信人在一定期限内适当限制乘坐火车。相关主体从限制乘火车人员名单中移除后，不再对其采取限制乘火</w:t>
      </w:r>
      <w:r>
        <w:rPr>
          <w:rFonts w:ascii="华文楷体" w:eastAsia="华文楷体" w:hAnsi="华文楷体" w:cs="华文楷体" w:hint="eastAsia"/>
        </w:rPr>
        <w:t>车措施，具体移除办法如下：</w:t>
      </w:r>
    </w:p>
    <w:p w14:paraId="4623A4CA"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（一）行为责任人发生严重影响铁路运行安全和生产安全有关行为第</w:t>
      </w:r>
      <w:r>
        <w:rPr>
          <w:rFonts w:ascii="华文楷体" w:eastAsia="华文楷体" w:hAnsi="华文楷体" w:cs="华文楷体" w:hint="eastAsia"/>
        </w:rPr>
        <w:t>1</w:t>
      </w:r>
      <w:r>
        <w:rPr>
          <w:rFonts w:ascii="华文楷体" w:eastAsia="华文楷体" w:hAnsi="华文楷体" w:cs="华文楷体" w:hint="eastAsia"/>
        </w:rPr>
        <w:t>～</w:t>
      </w:r>
      <w:r>
        <w:rPr>
          <w:rFonts w:ascii="华文楷体" w:eastAsia="华文楷体" w:hAnsi="华文楷体" w:cs="华文楷体" w:hint="eastAsia"/>
        </w:rPr>
        <w:t>3</w:t>
      </w:r>
      <w:r>
        <w:rPr>
          <w:rFonts w:ascii="华文楷体" w:eastAsia="华文楷体" w:hAnsi="华文楷体" w:cs="华文楷体" w:hint="eastAsia"/>
        </w:rPr>
        <w:t>、</w:t>
      </w:r>
      <w:r>
        <w:rPr>
          <w:rFonts w:ascii="华文楷体" w:eastAsia="华文楷体" w:hAnsi="华文楷体" w:cs="华文楷体" w:hint="eastAsia"/>
        </w:rPr>
        <w:t>7</w:t>
      </w:r>
      <w:r>
        <w:rPr>
          <w:rFonts w:ascii="华文楷体" w:eastAsia="华文楷体" w:hAnsi="华文楷体" w:cs="华文楷体" w:hint="eastAsia"/>
        </w:rPr>
        <w:t>条的，各铁路运输企业限制其购买车票，有效期为</w:t>
      </w:r>
      <w:r>
        <w:rPr>
          <w:rFonts w:ascii="华文楷体" w:eastAsia="华文楷体" w:hAnsi="华文楷体" w:cs="华文楷体" w:hint="eastAsia"/>
        </w:rPr>
        <w:t>180</w:t>
      </w:r>
      <w:r>
        <w:rPr>
          <w:rFonts w:ascii="华文楷体" w:eastAsia="华文楷体" w:hAnsi="华文楷体" w:cs="华文楷体" w:hint="eastAsia"/>
        </w:rPr>
        <w:t>天，自公布期满无有效异议之日起计算，</w:t>
      </w:r>
      <w:r>
        <w:rPr>
          <w:rFonts w:ascii="华文楷体" w:eastAsia="华文楷体" w:hAnsi="华文楷体" w:cs="华文楷体" w:hint="eastAsia"/>
        </w:rPr>
        <w:t>180</w:t>
      </w:r>
      <w:r>
        <w:rPr>
          <w:rFonts w:ascii="华文楷体" w:eastAsia="华文楷体" w:hAnsi="华文楷体" w:cs="华文楷体" w:hint="eastAsia"/>
        </w:rPr>
        <w:t>天期满自动移除，铁路运输企业对其恢复发售车票。</w:t>
      </w:r>
    </w:p>
    <w:p w14:paraId="6075C235"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（二）行为责任人发生严重影响铁路运行安全和生产安全有关的行为第</w:t>
      </w:r>
      <w:r>
        <w:rPr>
          <w:rFonts w:ascii="华文楷体" w:eastAsia="华文楷体" w:hAnsi="华文楷体" w:cs="华文楷体" w:hint="eastAsia"/>
        </w:rPr>
        <w:t>4</w:t>
      </w:r>
      <w:r>
        <w:rPr>
          <w:rFonts w:ascii="华文楷体" w:eastAsia="华文楷体" w:hAnsi="华文楷体" w:cs="华文楷体" w:hint="eastAsia"/>
        </w:rPr>
        <w:t>～</w:t>
      </w:r>
      <w:r>
        <w:rPr>
          <w:rFonts w:ascii="华文楷体" w:eastAsia="华文楷体" w:hAnsi="华文楷体" w:cs="华文楷体" w:hint="eastAsia"/>
        </w:rPr>
        <w:t>6</w:t>
      </w:r>
      <w:r>
        <w:rPr>
          <w:rFonts w:ascii="华文楷体" w:eastAsia="华文楷体" w:hAnsi="华文楷体" w:cs="华文楷体" w:hint="eastAsia"/>
        </w:rPr>
        <w:t>条的，各铁路运输企业限制其购买车票。行为责任人补齐所欠票款后（自补票次日算起），铁路运输企业恢复发售车票；行为责任人补齐第一次所欠票款一年内，三次发生上述</w:t>
      </w:r>
      <w:r>
        <w:rPr>
          <w:rFonts w:ascii="华文楷体" w:eastAsia="华文楷体" w:hAnsi="华文楷体" w:cs="华文楷体" w:hint="eastAsia"/>
        </w:rPr>
        <w:t>4</w:t>
      </w:r>
      <w:r>
        <w:rPr>
          <w:rFonts w:ascii="华文楷体" w:eastAsia="华文楷体" w:hAnsi="华文楷体" w:cs="华文楷体" w:hint="eastAsia"/>
        </w:rPr>
        <w:t>～</w:t>
      </w:r>
      <w:r>
        <w:rPr>
          <w:rFonts w:ascii="华文楷体" w:eastAsia="华文楷体" w:hAnsi="华文楷体" w:cs="华文楷体" w:hint="eastAsia"/>
        </w:rPr>
        <w:t>6</w:t>
      </w:r>
      <w:r>
        <w:rPr>
          <w:rFonts w:ascii="华文楷体" w:eastAsia="华文楷体" w:hAnsi="华文楷体" w:cs="华文楷体" w:hint="eastAsia"/>
        </w:rPr>
        <w:t>条行为的，行为责任人补齐所欠票款</w:t>
      </w:r>
      <w:r>
        <w:rPr>
          <w:rFonts w:ascii="华文楷体" w:eastAsia="华文楷体" w:hAnsi="华文楷体" w:cs="华文楷体" w:hint="eastAsia"/>
        </w:rPr>
        <w:t>90</w:t>
      </w:r>
      <w:r>
        <w:rPr>
          <w:rFonts w:ascii="华文楷体" w:eastAsia="华文楷体" w:hAnsi="华文楷体" w:cs="华文楷体" w:hint="eastAsia"/>
        </w:rPr>
        <w:t>天</w:t>
      </w:r>
      <w:r>
        <w:rPr>
          <w:rFonts w:ascii="华文楷体" w:eastAsia="华文楷体" w:hAnsi="华文楷体" w:cs="华文楷体" w:hint="eastAsia"/>
        </w:rPr>
        <w:t>后（含</w:t>
      </w:r>
      <w:r>
        <w:rPr>
          <w:rFonts w:ascii="华文楷体" w:eastAsia="华文楷体" w:hAnsi="华文楷体" w:cs="华文楷体" w:hint="eastAsia"/>
        </w:rPr>
        <w:t>90</w:t>
      </w:r>
      <w:r>
        <w:rPr>
          <w:rFonts w:ascii="华文楷体" w:eastAsia="华文楷体" w:hAnsi="华文楷体" w:cs="华文楷体" w:hint="eastAsia"/>
        </w:rPr>
        <w:t>天），铁路运输企业恢复发售车票，不补齐所欠票款，铁路运输企业不对其恢复发售车票。</w:t>
      </w:r>
    </w:p>
    <w:p w14:paraId="20A84984"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（三）其他领域产生的限制乘坐火车高级别席位的相关人员名单，有效期为一年，自公示期满之日起计算，一年期满自动移除；在有效期内，其法定义务履行完毕的，有关部门应当在</w:t>
      </w:r>
      <w:r>
        <w:rPr>
          <w:rFonts w:ascii="华文楷体" w:eastAsia="华文楷体" w:hAnsi="华文楷体" w:cs="华文楷体" w:hint="eastAsia"/>
        </w:rPr>
        <w:t>7</w:t>
      </w:r>
      <w:r>
        <w:rPr>
          <w:rFonts w:ascii="华文楷体" w:eastAsia="华文楷体" w:hAnsi="华文楷体" w:cs="华文楷体" w:hint="eastAsia"/>
        </w:rPr>
        <w:t>个工作日内通知铁路总公司移除名单。</w:t>
      </w:r>
    </w:p>
    <w:p w14:paraId="731913C2" w14:textId="77777777" w:rsidR="00ED5EBF" w:rsidRDefault="002034C8">
      <w:pPr>
        <w:spacing w:line="360" w:lineRule="auto"/>
        <w:jc w:val="left"/>
        <w:rPr>
          <w:rFonts w:ascii="华文楷体" w:eastAsia="华文楷体" w:hAnsi="华文楷体" w:cs="华文楷体"/>
          <w:b/>
          <w:bCs/>
        </w:rPr>
      </w:pPr>
      <w:r>
        <w:rPr>
          <w:rFonts w:ascii="华文楷体" w:eastAsia="华文楷体" w:hAnsi="华文楷体" w:cs="华文楷体" w:hint="eastAsia"/>
        </w:rPr>
        <w:t xml:space="preserve">　</w:t>
      </w:r>
      <w:r>
        <w:rPr>
          <w:rFonts w:ascii="华文楷体" w:eastAsia="华文楷体" w:hAnsi="华文楷体" w:cs="华文楷体" w:hint="eastAsia"/>
          <w:b/>
          <w:bCs/>
        </w:rPr>
        <w:t xml:space="preserve">　五、诉讼指导</w:t>
      </w:r>
    </w:p>
    <w:p w14:paraId="2417EC45"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最高人民法院加强对各级人民法院指导，依法处理因执行限制乘坐火车名单</w:t>
      </w:r>
      <w:r>
        <w:rPr>
          <w:rFonts w:ascii="华文楷体" w:eastAsia="华文楷体" w:hAnsi="华文楷体" w:cs="华文楷体" w:hint="eastAsia"/>
        </w:rPr>
        <w:lastRenderedPageBreak/>
        <w:t>而引发的有关民事诉讼和行政诉讼，明确审理标准，公正司法，维护各方合法权益。</w:t>
      </w:r>
    </w:p>
    <w:p w14:paraId="44CFD108" w14:textId="77777777" w:rsidR="00ED5EBF" w:rsidRDefault="002034C8">
      <w:pPr>
        <w:spacing w:line="360" w:lineRule="auto"/>
        <w:jc w:val="left"/>
        <w:rPr>
          <w:rFonts w:ascii="华文楷体" w:eastAsia="华文楷体" w:hAnsi="华文楷体" w:cs="华文楷体"/>
          <w:b/>
          <w:bCs/>
        </w:rPr>
      </w:pPr>
      <w:r>
        <w:rPr>
          <w:rFonts w:ascii="华文楷体" w:eastAsia="华文楷体" w:hAnsi="华文楷体" w:cs="华文楷体" w:hint="eastAsia"/>
        </w:rPr>
        <w:t xml:space="preserve">　　</w:t>
      </w:r>
      <w:r>
        <w:rPr>
          <w:rFonts w:ascii="华文楷体" w:eastAsia="华文楷体" w:hAnsi="华文楷体" w:cs="华文楷体" w:hint="eastAsia"/>
          <w:b/>
          <w:bCs/>
        </w:rPr>
        <w:t>六、宣传工作</w:t>
      </w:r>
    </w:p>
    <w:p w14:paraId="7393020F"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各相关部门及各铁路运输企业应当借</w:t>
      </w:r>
      <w:r>
        <w:rPr>
          <w:rFonts w:ascii="华文楷体" w:eastAsia="华文楷体" w:hAnsi="华文楷体" w:cs="华文楷体" w:hint="eastAsia"/>
        </w:rPr>
        <w:t>助各类媒体平台，发挥舆论的宣传引导作用，大力开展铁路信用宣传普及教育活动。利用“诚信活动周”“安全生产月”“诚信兴商宣传月”“</w:t>
      </w:r>
      <w:r>
        <w:rPr>
          <w:rFonts w:ascii="华文楷体" w:eastAsia="华文楷体" w:hAnsi="华文楷体" w:cs="华文楷体" w:hint="eastAsia"/>
        </w:rPr>
        <w:t>3</w:t>
      </w:r>
      <w:r>
        <w:rPr>
          <w:rFonts w:ascii="华文楷体" w:eastAsia="华文楷体" w:hAnsi="华文楷体" w:cs="华文楷体" w:hint="eastAsia"/>
        </w:rPr>
        <w:t>·</w:t>
      </w:r>
      <w:r>
        <w:rPr>
          <w:rFonts w:ascii="华文楷体" w:eastAsia="华文楷体" w:hAnsi="华文楷体" w:cs="华文楷体" w:hint="eastAsia"/>
        </w:rPr>
        <w:t>15</w:t>
      </w:r>
      <w:r>
        <w:rPr>
          <w:rFonts w:ascii="华文楷体" w:eastAsia="华文楷体" w:hAnsi="华文楷体" w:cs="华文楷体" w:hint="eastAsia"/>
        </w:rPr>
        <w:t>国际消费者权益保护日”“</w:t>
      </w:r>
      <w:r>
        <w:rPr>
          <w:rFonts w:ascii="华文楷体" w:eastAsia="华文楷体" w:hAnsi="华文楷体" w:cs="华文楷体" w:hint="eastAsia"/>
        </w:rPr>
        <w:t>6</w:t>
      </w:r>
      <w:r>
        <w:rPr>
          <w:rFonts w:ascii="华文楷体" w:eastAsia="华文楷体" w:hAnsi="华文楷体" w:cs="华文楷体" w:hint="eastAsia"/>
        </w:rPr>
        <w:t>·</w:t>
      </w:r>
      <w:r>
        <w:rPr>
          <w:rFonts w:ascii="华文楷体" w:eastAsia="华文楷体" w:hAnsi="华文楷体" w:cs="华文楷体" w:hint="eastAsia"/>
        </w:rPr>
        <w:t>14</w:t>
      </w:r>
      <w:r>
        <w:rPr>
          <w:rFonts w:ascii="华文楷体" w:eastAsia="华文楷体" w:hAnsi="华文楷体" w:cs="华文楷体" w:hint="eastAsia"/>
        </w:rPr>
        <w:t>信用记录关爱日”“</w:t>
      </w:r>
      <w:r>
        <w:rPr>
          <w:rFonts w:ascii="华文楷体" w:eastAsia="华文楷体" w:hAnsi="华文楷体" w:cs="华文楷体" w:hint="eastAsia"/>
        </w:rPr>
        <w:t>12</w:t>
      </w:r>
      <w:r>
        <w:rPr>
          <w:rFonts w:ascii="华文楷体" w:eastAsia="华文楷体" w:hAnsi="华文楷体" w:cs="华文楷体" w:hint="eastAsia"/>
        </w:rPr>
        <w:t>·</w:t>
      </w:r>
      <w:r>
        <w:rPr>
          <w:rFonts w:ascii="华文楷体" w:eastAsia="华文楷体" w:hAnsi="华文楷体" w:cs="华文楷体" w:hint="eastAsia"/>
        </w:rPr>
        <w:t>4</w:t>
      </w:r>
      <w:r>
        <w:rPr>
          <w:rFonts w:ascii="华文楷体" w:eastAsia="华文楷体" w:hAnsi="华文楷体" w:cs="华文楷体" w:hint="eastAsia"/>
        </w:rPr>
        <w:t>全国法制宣传日”等公益活动，有步骤、有重点地介绍宣传限制乘坐火车制度的内容和实施情况，帮助广大社会公众熟悉并监督这一制度的实施。</w:t>
      </w:r>
    </w:p>
    <w:p w14:paraId="69C2F7B3"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本通知自</w:t>
      </w:r>
      <w:r>
        <w:rPr>
          <w:rFonts w:ascii="华文楷体" w:eastAsia="华文楷体" w:hAnsi="华文楷体" w:cs="华文楷体" w:hint="eastAsia"/>
        </w:rPr>
        <w:t>2018</w:t>
      </w:r>
      <w:r>
        <w:rPr>
          <w:rFonts w:ascii="华文楷体" w:eastAsia="华文楷体" w:hAnsi="华文楷体" w:cs="华文楷体" w:hint="eastAsia"/>
        </w:rPr>
        <w:t>年</w:t>
      </w:r>
      <w:r>
        <w:rPr>
          <w:rFonts w:ascii="华文楷体" w:eastAsia="华文楷体" w:hAnsi="华文楷体" w:cs="华文楷体" w:hint="eastAsia"/>
        </w:rPr>
        <w:t>5</w:t>
      </w:r>
      <w:r>
        <w:rPr>
          <w:rFonts w:ascii="华文楷体" w:eastAsia="华文楷体" w:hAnsi="华文楷体" w:cs="华文楷体" w:hint="eastAsia"/>
        </w:rPr>
        <w:t>月</w:t>
      </w:r>
      <w:r>
        <w:rPr>
          <w:rFonts w:ascii="华文楷体" w:eastAsia="华文楷体" w:hAnsi="华文楷体" w:cs="华文楷体" w:hint="eastAsia"/>
        </w:rPr>
        <w:t>1</w:t>
      </w:r>
      <w:r>
        <w:rPr>
          <w:rFonts w:ascii="华文楷体" w:eastAsia="华文楷体" w:hAnsi="华文楷体" w:cs="华文楷体" w:hint="eastAsia"/>
        </w:rPr>
        <w:t>日起实施。</w:t>
      </w:r>
    </w:p>
    <w:p w14:paraId="77A590C6" w14:textId="77777777" w:rsidR="00ED5EBF" w:rsidRDefault="002034C8">
      <w:pPr>
        <w:spacing w:line="360" w:lineRule="auto"/>
        <w:jc w:val="left"/>
        <w:rPr>
          <w:rFonts w:ascii="华文楷体" w:eastAsia="华文楷体" w:hAnsi="华文楷体" w:cs="华文楷体"/>
        </w:rPr>
      </w:pPr>
      <w:r>
        <w:rPr>
          <w:rFonts w:ascii="华文楷体" w:eastAsia="华文楷体" w:hAnsi="华文楷体" w:cs="华文楷体" w:hint="eastAsia"/>
        </w:rPr>
        <w:t xml:space="preserve"> </w:t>
      </w:r>
    </w:p>
    <w:p w14:paraId="25AFFAB6"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国家发展改革委</w:t>
      </w:r>
    </w:p>
    <w:p w14:paraId="6B31D87A"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中</w:t>
      </w:r>
      <w:r>
        <w:rPr>
          <w:rFonts w:ascii="华文楷体" w:eastAsia="华文楷体" w:hAnsi="华文楷体" w:cs="华文楷体" w:hint="eastAsia"/>
        </w:rPr>
        <w:t xml:space="preserve"> </w:t>
      </w:r>
      <w:r>
        <w:rPr>
          <w:rFonts w:ascii="华文楷体" w:eastAsia="华文楷体" w:hAnsi="华文楷体" w:cs="华文楷体" w:hint="eastAsia"/>
        </w:rPr>
        <w:t>央</w:t>
      </w:r>
      <w:r>
        <w:rPr>
          <w:rFonts w:ascii="华文楷体" w:eastAsia="华文楷体" w:hAnsi="华文楷体" w:cs="华文楷体" w:hint="eastAsia"/>
        </w:rPr>
        <w:t xml:space="preserve"> </w:t>
      </w:r>
      <w:r>
        <w:rPr>
          <w:rFonts w:ascii="华文楷体" w:eastAsia="华文楷体" w:hAnsi="华文楷体" w:cs="华文楷体" w:hint="eastAsia"/>
        </w:rPr>
        <w:t>文</w:t>
      </w:r>
      <w:r>
        <w:rPr>
          <w:rFonts w:ascii="华文楷体" w:eastAsia="华文楷体" w:hAnsi="华文楷体" w:cs="华文楷体" w:hint="eastAsia"/>
        </w:rPr>
        <w:t xml:space="preserve"> </w:t>
      </w:r>
      <w:r>
        <w:rPr>
          <w:rFonts w:ascii="华文楷体" w:eastAsia="华文楷体" w:hAnsi="华文楷体" w:cs="华文楷体" w:hint="eastAsia"/>
        </w:rPr>
        <w:t>明</w:t>
      </w:r>
      <w:r>
        <w:rPr>
          <w:rFonts w:ascii="华文楷体" w:eastAsia="华文楷体" w:hAnsi="华文楷体" w:cs="华文楷体" w:hint="eastAsia"/>
        </w:rPr>
        <w:t xml:space="preserve"> </w:t>
      </w:r>
      <w:r>
        <w:rPr>
          <w:rFonts w:ascii="华文楷体" w:eastAsia="华文楷体" w:hAnsi="华文楷体" w:cs="华文楷体" w:hint="eastAsia"/>
        </w:rPr>
        <w:t>办</w:t>
      </w:r>
    </w:p>
    <w:p w14:paraId="724AC1A5"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最高人民法院</w:t>
      </w:r>
    </w:p>
    <w:p w14:paraId="38F3C490"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财　　政　　部</w:t>
      </w:r>
    </w:p>
    <w:p w14:paraId="7AC89842"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人力资源社会保障部</w:t>
      </w:r>
    </w:p>
    <w:p w14:paraId="7C8614E8"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税　务　总　局</w:t>
      </w:r>
    </w:p>
    <w:p w14:paraId="3EDD0F14"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证　　监　　会</w:t>
      </w:r>
    </w:p>
    <w:p w14:paraId="4198436A"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铁</w:t>
      </w:r>
      <w:r>
        <w:rPr>
          <w:rFonts w:ascii="华文楷体" w:eastAsia="华文楷体" w:hAnsi="华文楷体" w:cs="华文楷体" w:hint="eastAsia"/>
        </w:rPr>
        <w:t xml:space="preserve"> </w:t>
      </w:r>
      <w:r>
        <w:rPr>
          <w:rFonts w:ascii="华文楷体" w:eastAsia="华文楷体" w:hAnsi="华文楷体" w:cs="华文楷体" w:hint="eastAsia"/>
        </w:rPr>
        <w:t>路</w:t>
      </w:r>
      <w:r>
        <w:rPr>
          <w:rFonts w:ascii="华文楷体" w:eastAsia="华文楷体" w:hAnsi="华文楷体" w:cs="华文楷体" w:hint="eastAsia"/>
        </w:rPr>
        <w:t xml:space="preserve"> </w:t>
      </w:r>
      <w:r>
        <w:rPr>
          <w:rFonts w:ascii="华文楷体" w:eastAsia="华文楷体" w:hAnsi="华文楷体" w:cs="华文楷体" w:hint="eastAsia"/>
        </w:rPr>
        <w:t>总</w:t>
      </w:r>
      <w:r>
        <w:rPr>
          <w:rFonts w:ascii="华文楷体" w:eastAsia="华文楷体" w:hAnsi="华文楷体" w:cs="华文楷体" w:hint="eastAsia"/>
        </w:rPr>
        <w:t xml:space="preserve"> </w:t>
      </w:r>
      <w:r>
        <w:rPr>
          <w:rFonts w:ascii="华文楷体" w:eastAsia="华文楷体" w:hAnsi="华文楷体" w:cs="华文楷体" w:hint="eastAsia"/>
        </w:rPr>
        <w:t>公</w:t>
      </w:r>
      <w:r>
        <w:rPr>
          <w:rFonts w:ascii="华文楷体" w:eastAsia="华文楷体" w:hAnsi="华文楷体" w:cs="华文楷体" w:hint="eastAsia"/>
        </w:rPr>
        <w:t xml:space="preserve"> </w:t>
      </w:r>
      <w:r>
        <w:rPr>
          <w:rFonts w:ascii="华文楷体" w:eastAsia="华文楷体" w:hAnsi="华文楷体" w:cs="华文楷体" w:hint="eastAsia"/>
        </w:rPr>
        <w:t>司</w:t>
      </w:r>
    </w:p>
    <w:p w14:paraId="095F087C"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2018</w:t>
      </w:r>
      <w:r>
        <w:rPr>
          <w:rFonts w:ascii="华文楷体" w:eastAsia="华文楷体" w:hAnsi="华文楷体" w:cs="华文楷体" w:hint="eastAsia"/>
        </w:rPr>
        <w:t>年</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2</w:t>
      </w:r>
      <w:r>
        <w:rPr>
          <w:rFonts w:ascii="华文楷体" w:eastAsia="华文楷体" w:hAnsi="华文楷体" w:cs="华文楷体" w:hint="eastAsia"/>
        </w:rPr>
        <w:t>日</w:t>
      </w:r>
    </w:p>
    <w:p w14:paraId="1DD541C2" w14:textId="77777777" w:rsidR="00ED5EBF" w:rsidRDefault="00ED5EBF">
      <w:pPr>
        <w:spacing w:line="360" w:lineRule="auto"/>
        <w:jc w:val="center"/>
        <w:rPr>
          <w:rFonts w:ascii="华文楷体" w:eastAsia="华文楷体" w:hAnsi="华文楷体" w:cs="华文楷体"/>
        </w:rPr>
      </w:pPr>
    </w:p>
    <w:p w14:paraId="1948789C" w14:textId="77777777" w:rsidR="00ED5EBF" w:rsidRDefault="00ED5EBF">
      <w:pPr>
        <w:spacing w:line="360" w:lineRule="auto"/>
        <w:jc w:val="center"/>
        <w:rPr>
          <w:rFonts w:ascii="华文楷体" w:eastAsia="华文楷体" w:hAnsi="华文楷体" w:cs="华文楷体"/>
        </w:rPr>
      </w:pPr>
    </w:p>
    <w:p w14:paraId="0C47B6F1" w14:textId="77777777" w:rsidR="00ED5EBF" w:rsidRDefault="00ED5EBF">
      <w:pPr>
        <w:spacing w:line="360" w:lineRule="auto"/>
        <w:jc w:val="center"/>
        <w:rPr>
          <w:rFonts w:ascii="华文楷体" w:eastAsia="华文楷体" w:hAnsi="华文楷体" w:cs="华文楷体"/>
        </w:rPr>
      </w:pPr>
    </w:p>
    <w:p w14:paraId="3641ECDB" w14:textId="77777777" w:rsidR="00ED5EBF" w:rsidRDefault="002034C8">
      <w:pPr>
        <w:spacing w:line="360" w:lineRule="auto"/>
        <w:jc w:val="center"/>
        <w:rPr>
          <w:rFonts w:ascii="华文中宋" w:eastAsia="华文中宋" w:hAnsi="华文中宋" w:cs="华文中宋"/>
          <w:b/>
          <w:bCs/>
        </w:rPr>
      </w:pPr>
      <w:bookmarkStart w:id="17" w:name="关于对失信被执行人实施限制不动产交易惩戒措施的通知"/>
      <w:r>
        <w:rPr>
          <w:rFonts w:ascii="华文中宋" w:eastAsia="华文中宋" w:hAnsi="华文中宋" w:cs="华文中宋" w:hint="eastAsia"/>
          <w:b/>
          <w:bCs/>
        </w:rPr>
        <w:lastRenderedPageBreak/>
        <w:t>关于对失信被执行人实施限制不动产交易</w:t>
      </w:r>
    </w:p>
    <w:p w14:paraId="1A2854F8" w14:textId="77777777" w:rsidR="00ED5EBF" w:rsidRDefault="002034C8">
      <w:pPr>
        <w:spacing w:line="360" w:lineRule="auto"/>
        <w:jc w:val="center"/>
        <w:rPr>
          <w:rFonts w:ascii="华文中宋" w:eastAsia="华文中宋" w:hAnsi="华文中宋" w:cs="华文中宋"/>
          <w:b/>
          <w:bCs/>
        </w:rPr>
      </w:pPr>
      <w:r>
        <w:rPr>
          <w:rFonts w:ascii="华文中宋" w:eastAsia="华文中宋" w:hAnsi="华文中宋" w:cs="华文中宋" w:hint="eastAsia"/>
          <w:b/>
          <w:bCs/>
        </w:rPr>
        <w:t>惩戒措施的通知</w:t>
      </w:r>
    </w:p>
    <w:bookmarkEnd w:id="17"/>
    <w:p w14:paraId="1850658B" w14:textId="77777777" w:rsidR="00ED5EBF" w:rsidRDefault="002034C8">
      <w:pPr>
        <w:spacing w:line="360" w:lineRule="auto"/>
        <w:jc w:val="center"/>
        <w:rPr>
          <w:rFonts w:ascii="华文楷体" w:eastAsia="华文楷体" w:hAnsi="华文楷体" w:cs="华文楷体"/>
          <w:sz w:val="21"/>
          <w:szCs w:val="21"/>
        </w:rPr>
      </w:pPr>
      <w:r>
        <w:rPr>
          <w:rFonts w:ascii="华文楷体" w:eastAsia="华文楷体" w:hAnsi="华文楷体" w:cs="华文楷体" w:hint="eastAsia"/>
        </w:rPr>
        <w:t xml:space="preserve">  </w:t>
      </w:r>
      <w:r>
        <w:rPr>
          <w:rFonts w:ascii="华文楷体" w:eastAsia="华文楷体" w:hAnsi="华文楷体" w:cs="华文楷体" w:hint="eastAsia"/>
          <w:sz w:val="21"/>
          <w:szCs w:val="21"/>
        </w:rPr>
        <w:t>日期：</w:t>
      </w:r>
      <w:r>
        <w:rPr>
          <w:rFonts w:ascii="华文楷体" w:eastAsia="华文楷体" w:hAnsi="华文楷体" w:cs="华文楷体" w:hint="eastAsia"/>
          <w:sz w:val="21"/>
          <w:szCs w:val="21"/>
        </w:rPr>
        <w:t>2018</w:t>
      </w:r>
      <w:r>
        <w:rPr>
          <w:rFonts w:ascii="华文楷体" w:eastAsia="华文楷体" w:hAnsi="华文楷体" w:cs="华文楷体" w:hint="eastAsia"/>
          <w:sz w:val="21"/>
          <w:szCs w:val="21"/>
        </w:rPr>
        <w:t>年</w:t>
      </w:r>
      <w:r>
        <w:rPr>
          <w:rFonts w:ascii="华文楷体" w:eastAsia="华文楷体" w:hAnsi="华文楷体" w:cs="华文楷体" w:hint="eastAsia"/>
          <w:sz w:val="21"/>
          <w:szCs w:val="21"/>
        </w:rPr>
        <w:t>3</w:t>
      </w:r>
      <w:r>
        <w:rPr>
          <w:rFonts w:ascii="华文楷体" w:eastAsia="华文楷体" w:hAnsi="华文楷体" w:cs="华文楷体" w:hint="eastAsia"/>
          <w:sz w:val="21"/>
          <w:szCs w:val="21"/>
        </w:rPr>
        <w:t>月</w:t>
      </w:r>
      <w:r>
        <w:rPr>
          <w:rFonts w:ascii="华文楷体" w:eastAsia="华文楷体" w:hAnsi="华文楷体" w:cs="华文楷体" w:hint="eastAsia"/>
          <w:sz w:val="21"/>
          <w:szCs w:val="21"/>
        </w:rPr>
        <w:t>16</w:t>
      </w:r>
      <w:r>
        <w:rPr>
          <w:rFonts w:ascii="华文楷体" w:eastAsia="华文楷体" w:hAnsi="华文楷体" w:cs="华文楷体" w:hint="eastAsia"/>
          <w:sz w:val="21"/>
          <w:szCs w:val="21"/>
        </w:rPr>
        <w:t>日</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来源：国家发展和改革委员会</w:t>
      </w:r>
    </w:p>
    <w:p w14:paraId="5F5448DB" w14:textId="77777777" w:rsidR="00ED5EBF" w:rsidRDefault="00ED5EBF">
      <w:pPr>
        <w:spacing w:line="360" w:lineRule="auto"/>
        <w:rPr>
          <w:rFonts w:ascii="华文楷体" w:eastAsia="华文楷体" w:hAnsi="华文楷体" w:cs="华文楷体"/>
        </w:rPr>
      </w:pPr>
    </w:p>
    <w:p w14:paraId="3F7BDEB6"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发改财金〔</w:t>
      </w:r>
      <w:r>
        <w:rPr>
          <w:rFonts w:ascii="华文楷体" w:eastAsia="华文楷体" w:hAnsi="华文楷体" w:cs="华文楷体" w:hint="eastAsia"/>
        </w:rPr>
        <w:t>2018</w:t>
      </w:r>
      <w:r>
        <w:rPr>
          <w:rFonts w:ascii="华文楷体" w:eastAsia="华文楷体" w:hAnsi="华文楷体" w:cs="华文楷体" w:hint="eastAsia"/>
        </w:rPr>
        <w:t>〕</w:t>
      </w:r>
      <w:r>
        <w:rPr>
          <w:rFonts w:ascii="华文楷体" w:eastAsia="华文楷体" w:hAnsi="华文楷体" w:cs="华文楷体" w:hint="eastAsia"/>
        </w:rPr>
        <w:t>370</w:t>
      </w:r>
      <w:r>
        <w:rPr>
          <w:rFonts w:ascii="华文楷体" w:eastAsia="华文楷体" w:hAnsi="华文楷体" w:cs="华文楷体" w:hint="eastAsia"/>
        </w:rPr>
        <w:t>号</w:t>
      </w:r>
    </w:p>
    <w:p w14:paraId="0E1BCE34"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w:t>
      </w:r>
    </w:p>
    <w:p w14:paraId="5BC24B73"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各省、自治区、直辖市、新疆生产建设兵团社会信用体系建设牵头单位、高级人民法院、国土资源厅（局）：</w:t>
      </w:r>
    </w:p>
    <w:p w14:paraId="47D55B36"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为深入学习贯彻习近平新时代中国特色社会主义思想和党的十九大精神，进一步落实《中共中央办公厅</w:t>
      </w:r>
      <w:r>
        <w:rPr>
          <w:rFonts w:ascii="华文楷体" w:eastAsia="华文楷体" w:hAnsi="华文楷体" w:cs="华文楷体" w:hint="eastAsia"/>
        </w:rPr>
        <w:t xml:space="preserve"> </w:t>
      </w:r>
      <w:r>
        <w:rPr>
          <w:rFonts w:ascii="华文楷体" w:eastAsia="华文楷体" w:hAnsi="华文楷体" w:cs="华文楷体" w:hint="eastAsia"/>
        </w:rPr>
        <w:t>国务院办公厅关于加快推进失信被执行人信用监督、警示和惩戒机制建设的意见》（中办发〔</w:t>
      </w:r>
      <w:r>
        <w:rPr>
          <w:rFonts w:ascii="华文楷体" w:eastAsia="华文楷体" w:hAnsi="华文楷体" w:cs="华文楷体" w:hint="eastAsia"/>
        </w:rPr>
        <w:t>2016</w:t>
      </w:r>
      <w:r>
        <w:rPr>
          <w:rFonts w:ascii="华文楷体" w:eastAsia="华文楷体" w:hAnsi="华文楷体" w:cs="华文楷体" w:hint="eastAsia"/>
        </w:rPr>
        <w:t>〕</w:t>
      </w:r>
      <w:r>
        <w:rPr>
          <w:rFonts w:ascii="华文楷体" w:eastAsia="华文楷体" w:hAnsi="华文楷体" w:cs="华文楷体" w:hint="eastAsia"/>
        </w:rPr>
        <w:t>64</w:t>
      </w:r>
      <w:r>
        <w:rPr>
          <w:rFonts w:ascii="华文楷体" w:eastAsia="华文楷体" w:hAnsi="华文楷体" w:cs="华文楷体" w:hint="eastAsia"/>
        </w:rPr>
        <w:t>号）、《国务院关于建立完善守信联合激励和失信联合惩戒制度加快推进社会诚信建设的指导意见》（国发〔</w:t>
      </w:r>
      <w:r>
        <w:rPr>
          <w:rFonts w:ascii="华文楷体" w:eastAsia="华文楷体" w:hAnsi="华文楷体" w:cs="华文楷体" w:hint="eastAsia"/>
        </w:rPr>
        <w:t>2016</w:t>
      </w:r>
      <w:r>
        <w:rPr>
          <w:rFonts w:ascii="华文楷体" w:eastAsia="华文楷体" w:hAnsi="华文楷体" w:cs="华文楷体" w:hint="eastAsia"/>
        </w:rPr>
        <w:t>〕</w:t>
      </w:r>
      <w:r>
        <w:rPr>
          <w:rFonts w:ascii="华文楷体" w:eastAsia="华文楷体" w:hAnsi="华文楷体" w:cs="华文楷体" w:hint="eastAsia"/>
        </w:rPr>
        <w:t>33</w:t>
      </w:r>
      <w:r>
        <w:rPr>
          <w:rFonts w:ascii="华文楷体" w:eastAsia="华文楷体" w:hAnsi="华文楷体" w:cs="华文楷体" w:hint="eastAsia"/>
        </w:rPr>
        <w:t>号）和《最高人民法院关于限制被执行人高消费的若干规定》（法释〔</w:t>
      </w:r>
      <w:r>
        <w:rPr>
          <w:rFonts w:ascii="华文楷体" w:eastAsia="华文楷体" w:hAnsi="华文楷体" w:cs="华文楷体" w:hint="eastAsia"/>
        </w:rPr>
        <w:t>2010</w:t>
      </w:r>
      <w:r>
        <w:rPr>
          <w:rFonts w:ascii="华文楷体" w:eastAsia="华文楷体" w:hAnsi="华文楷体" w:cs="华文楷体" w:hint="eastAsia"/>
        </w:rPr>
        <w:t>〕</w:t>
      </w:r>
      <w:r>
        <w:rPr>
          <w:rFonts w:ascii="华文楷体" w:eastAsia="华文楷体" w:hAnsi="华文楷体" w:cs="华文楷体" w:hint="eastAsia"/>
        </w:rPr>
        <w:t>8</w:t>
      </w:r>
      <w:r>
        <w:rPr>
          <w:rFonts w:ascii="华文楷体" w:eastAsia="华文楷体" w:hAnsi="华文楷体" w:cs="华文楷体" w:hint="eastAsia"/>
        </w:rPr>
        <w:t>号）等有关要求，加大对失信被执行人的惩戒力度，建立健全联合奖惩机制，国家发展改革委、最高人民法院、国土资源部共同对失信被执行人及失信被执行人的法定代表人、主要负责人、实际控制人、影响债务履行的直接责任人员，采取限制不动产交易的惩戒措</w:t>
      </w:r>
      <w:r>
        <w:rPr>
          <w:rFonts w:ascii="华文楷体" w:eastAsia="华文楷体" w:hAnsi="华文楷体" w:cs="华文楷体" w:hint="eastAsia"/>
        </w:rPr>
        <w:t>施。现将有关事项通知如下。</w:t>
      </w:r>
    </w:p>
    <w:p w14:paraId="5F18F7B0"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一、各级人民法院限制失信被执行人及失信被执行人的法定代表人、主要负责人、实际控制人、影响债务履行的直接责任人员参与房屋司法拍卖。</w:t>
      </w:r>
    </w:p>
    <w:p w14:paraId="5BE3094E"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二、市、县国土资源部门限制失信被执行人及失信被执行人的法定代表人、主要负责人、实际控制人、影响债务履行的直接责任人员取得政府供应土地。</w:t>
      </w:r>
    </w:p>
    <w:p w14:paraId="2FE8E488"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三、各地国土资源部门与人民法院要积极推进建立同级不动产登记信息和失</w:t>
      </w:r>
      <w:r>
        <w:rPr>
          <w:rFonts w:ascii="华文楷体" w:eastAsia="华文楷体" w:hAnsi="华文楷体" w:cs="华文楷体" w:hint="eastAsia"/>
        </w:rPr>
        <w:lastRenderedPageBreak/>
        <w:t>信被执行人名单信息互通共享机制，有条件的地区，国土资源部门在为失信被执行人及失信被执行人的法定代表人、主要负责人、实际控制人、影响债务履行的</w:t>
      </w:r>
      <w:r>
        <w:rPr>
          <w:rFonts w:ascii="华文楷体" w:eastAsia="华文楷体" w:hAnsi="华文楷体" w:cs="华文楷体" w:hint="eastAsia"/>
        </w:rPr>
        <w:t>直接责任人员办理转移、抵押、变更等涉及不动产产权变化的不动产登记时，应将相关信息通报给人民法院，便于人民法院依法采取执行措施。</w:t>
      </w:r>
    </w:p>
    <w:p w14:paraId="1493FE2A"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四、建立健全全国信用信息共享平台与国家不动产登记信息平台信息互通共享机制。全国信用信息共享平台将最高人民法院提供的失信被执行人名单信息及时推送至国家不动产登记信息平台；国家不动产登记信息平台将失信被执行人名下的不动产登记信息及时反馈至全国信用信息共享平台。</w:t>
      </w:r>
    </w:p>
    <w:p w14:paraId="0C8A530C"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w:t>
      </w:r>
    </w:p>
    <w:p w14:paraId="31A0B945"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国家发展改革委</w:t>
      </w:r>
    </w:p>
    <w:p w14:paraId="7DF05199"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最高人民法院</w:t>
      </w:r>
    </w:p>
    <w:p w14:paraId="07774A01"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国</w:t>
      </w:r>
      <w:r>
        <w:rPr>
          <w:rFonts w:ascii="华文楷体" w:eastAsia="华文楷体" w:hAnsi="华文楷体" w:cs="华文楷体" w:hint="eastAsia"/>
        </w:rPr>
        <w:t xml:space="preserve"> </w:t>
      </w:r>
      <w:r>
        <w:rPr>
          <w:rFonts w:ascii="华文楷体" w:eastAsia="华文楷体" w:hAnsi="华文楷体" w:cs="华文楷体" w:hint="eastAsia"/>
        </w:rPr>
        <w:t>土</w:t>
      </w:r>
      <w:r>
        <w:rPr>
          <w:rFonts w:ascii="华文楷体" w:eastAsia="华文楷体" w:hAnsi="华文楷体" w:cs="华文楷体" w:hint="eastAsia"/>
        </w:rPr>
        <w:t xml:space="preserve"> </w:t>
      </w:r>
      <w:r>
        <w:rPr>
          <w:rFonts w:ascii="华文楷体" w:eastAsia="华文楷体" w:hAnsi="华文楷体" w:cs="华文楷体" w:hint="eastAsia"/>
        </w:rPr>
        <w:t>资</w:t>
      </w:r>
      <w:r>
        <w:rPr>
          <w:rFonts w:ascii="华文楷体" w:eastAsia="华文楷体" w:hAnsi="华文楷体" w:cs="华文楷体" w:hint="eastAsia"/>
        </w:rPr>
        <w:t xml:space="preserve"> </w:t>
      </w:r>
      <w:r>
        <w:rPr>
          <w:rFonts w:ascii="华文楷体" w:eastAsia="华文楷体" w:hAnsi="华文楷体" w:cs="华文楷体" w:hint="eastAsia"/>
        </w:rPr>
        <w:t>源</w:t>
      </w:r>
      <w:r>
        <w:rPr>
          <w:rFonts w:ascii="华文楷体" w:eastAsia="华文楷体" w:hAnsi="华文楷体" w:cs="华文楷体" w:hint="eastAsia"/>
        </w:rPr>
        <w:t xml:space="preserve"> </w:t>
      </w:r>
      <w:r>
        <w:rPr>
          <w:rFonts w:ascii="华文楷体" w:eastAsia="华文楷体" w:hAnsi="华文楷体" w:cs="华文楷体" w:hint="eastAsia"/>
        </w:rPr>
        <w:t>部</w:t>
      </w:r>
    </w:p>
    <w:p w14:paraId="065EBFBD"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2018</w:t>
      </w:r>
      <w:r>
        <w:rPr>
          <w:rFonts w:ascii="华文楷体" w:eastAsia="华文楷体" w:hAnsi="华文楷体" w:cs="华文楷体" w:hint="eastAsia"/>
        </w:rPr>
        <w:t>年</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1</w:t>
      </w:r>
      <w:r>
        <w:rPr>
          <w:rFonts w:ascii="华文楷体" w:eastAsia="华文楷体" w:hAnsi="华文楷体" w:cs="华文楷体" w:hint="eastAsia"/>
        </w:rPr>
        <w:t>日</w:t>
      </w:r>
    </w:p>
    <w:p w14:paraId="7BEE720D" w14:textId="77777777" w:rsidR="00ED5EBF" w:rsidRDefault="00ED5EBF">
      <w:pPr>
        <w:spacing w:line="360" w:lineRule="auto"/>
        <w:rPr>
          <w:rFonts w:ascii="华文楷体" w:eastAsia="华文楷体" w:hAnsi="华文楷体" w:cs="华文楷体"/>
        </w:rPr>
      </w:pPr>
    </w:p>
    <w:p w14:paraId="059A4600" w14:textId="77777777" w:rsidR="00ED5EBF" w:rsidRDefault="00ED5EBF">
      <w:pPr>
        <w:spacing w:line="360" w:lineRule="auto"/>
        <w:rPr>
          <w:rFonts w:ascii="华文楷体" w:eastAsia="华文楷体" w:hAnsi="华文楷体" w:cs="华文楷体"/>
        </w:rPr>
      </w:pPr>
    </w:p>
    <w:p w14:paraId="0A7C296C" w14:textId="77777777" w:rsidR="00ED5EBF" w:rsidRDefault="00ED5EBF">
      <w:pPr>
        <w:spacing w:line="360" w:lineRule="auto"/>
        <w:rPr>
          <w:rFonts w:ascii="华文楷体" w:eastAsia="华文楷体" w:hAnsi="华文楷体" w:cs="华文楷体"/>
        </w:rPr>
      </w:pPr>
    </w:p>
    <w:p w14:paraId="584DC948" w14:textId="77777777" w:rsidR="00ED5EBF" w:rsidRDefault="00ED5EBF">
      <w:pPr>
        <w:spacing w:line="360" w:lineRule="auto"/>
        <w:rPr>
          <w:rFonts w:ascii="华文楷体" w:eastAsia="华文楷体" w:hAnsi="华文楷体" w:cs="华文楷体"/>
        </w:rPr>
      </w:pPr>
    </w:p>
    <w:p w14:paraId="3B2FC013" w14:textId="77777777" w:rsidR="00ED5EBF" w:rsidRDefault="00ED5EBF">
      <w:pPr>
        <w:spacing w:line="360" w:lineRule="auto"/>
        <w:rPr>
          <w:rFonts w:ascii="华文楷体" w:eastAsia="华文楷体" w:hAnsi="华文楷体" w:cs="华文楷体"/>
        </w:rPr>
      </w:pPr>
    </w:p>
    <w:p w14:paraId="31E8687A" w14:textId="77777777" w:rsidR="00ED5EBF" w:rsidRDefault="00ED5EBF">
      <w:pPr>
        <w:spacing w:line="360" w:lineRule="auto"/>
        <w:rPr>
          <w:rFonts w:ascii="华文楷体" w:eastAsia="华文楷体" w:hAnsi="华文楷体" w:cs="华文楷体"/>
        </w:rPr>
      </w:pPr>
    </w:p>
    <w:p w14:paraId="3BFCE66A" w14:textId="77777777" w:rsidR="00ED5EBF" w:rsidRDefault="00ED5EBF">
      <w:pPr>
        <w:spacing w:line="360" w:lineRule="auto"/>
        <w:rPr>
          <w:rFonts w:ascii="华文楷体" w:eastAsia="华文楷体" w:hAnsi="华文楷体" w:cs="华文楷体"/>
        </w:rPr>
      </w:pPr>
    </w:p>
    <w:p w14:paraId="70203F08" w14:textId="77777777" w:rsidR="00ED5EBF" w:rsidRDefault="00ED5EBF">
      <w:pPr>
        <w:spacing w:line="360" w:lineRule="auto"/>
        <w:rPr>
          <w:rFonts w:ascii="华文楷体" w:eastAsia="华文楷体" w:hAnsi="华文楷体" w:cs="华文楷体"/>
        </w:rPr>
      </w:pPr>
    </w:p>
    <w:p w14:paraId="201EFD89" w14:textId="77777777" w:rsidR="00ED5EBF" w:rsidRDefault="00ED5EBF">
      <w:pPr>
        <w:spacing w:line="360" w:lineRule="auto"/>
        <w:rPr>
          <w:rFonts w:ascii="华文楷体" w:eastAsia="华文楷体" w:hAnsi="华文楷体" w:cs="华文楷体"/>
        </w:rPr>
      </w:pPr>
    </w:p>
    <w:p w14:paraId="5FF12C56" w14:textId="77777777" w:rsidR="00ED5EBF" w:rsidRDefault="002034C8">
      <w:pPr>
        <w:spacing w:line="360" w:lineRule="auto"/>
        <w:jc w:val="center"/>
        <w:rPr>
          <w:rFonts w:ascii="华文中宋" w:eastAsia="华文中宋" w:hAnsi="华文中宋" w:cs="华文中宋"/>
          <w:b/>
          <w:bCs/>
        </w:rPr>
      </w:pPr>
      <w:bookmarkStart w:id="18" w:name="中国人民银行公告〔2018〕第5号"/>
      <w:r>
        <w:rPr>
          <w:rFonts w:ascii="华文中宋" w:eastAsia="华文中宋" w:hAnsi="华文中宋" w:cs="华文中宋" w:hint="eastAsia"/>
          <w:b/>
          <w:bCs/>
        </w:rPr>
        <w:lastRenderedPageBreak/>
        <w:t>中国人民银行公告〔</w:t>
      </w:r>
      <w:r>
        <w:rPr>
          <w:rFonts w:ascii="华文中宋" w:eastAsia="华文中宋" w:hAnsi="华文中宋" w:cs="华文中宋" w:hint="eastAsia"/>
          <w:b/>
          <w:bCs/>
        </w:rPr>
        <w:t>2018</w:t>
      </w:r>
      <w:r>
        <w:rPr>
          <w:rFonts w:ascii="华文中宋" w:eastAsia="华文中宋" w:hAnsi="华文中宋" w:cs="华文中宋" w:hint="eastAsia"/>
          <w:b/>
          <w:bCs/>
        </w:rPr>
        <w:t>〕第</w:t>
      </w:r>
      <w:r>
        <w:rPr>
          <w:rFonts w:ascii="华文中宋" w:eastAsia="华文中宋" w:hAnsi="华文中宋" w:cs="华文中宋" w:hint="eastAsia"/>
          <w:b/>
          <w:bCs/>
        </w:rPr>
        <w:t>5</w:t>
      </w:r>
      <w:r>
        <w:rPr>
          <w:rFonts w:ascii="华文中宋" w:eastAsia="华文中宋" w:hAnsi="华文中宋" w:cs="华文中宋" w:hint="eastAsia"/>
          <w:b/>
          <w:bCs/>
        </w:rPr>
        <w:t>号</w:t>
      </w:r>
    </w:p>
    <w:bookmarkEnd w:id="18"/>
    <w:p w14:paraId="423EC897" w14:textId="77777777" w:rsidR="00ED5EBF" w:rsidRDefault="002034C8">
      <w:pPr>
        <w:spacing w:line="360" w:lineRule="auto"/>
        <w:jc w:val="center"/>
        <w:rPr>
          <w:rFonts w:ascii="华文楷体" w:eastAsia="华文楷体" w:hAnsi="华文楷体" w:cs="华文楷体"/>
          <w:sz w:val="21"/>
          <w:szCs w:val="21"/>
        </w:rPr>
      </w:pPr>
      <w:r>
        <w:rPr>
          <w:rFonts w:ascii="华文楷体" w:eastAsia="华文楷体" w:hAnsi="华文楷体" w:cs="华文楷体" w:hint="eastAsia"/>
          <w:sz w:val="21"/>
          <w:szCs w:val="21"/>
        </w:rPr>
        <w:t>日期：</w:t>
      </w:r>
      <w:r>
        <w:rPr>
          <w:rFonts w:ascii="华文楷体" w:eastAsia="华文楷体" w:hAnsi="华文楷体" w:cs="华文楷体" w:hint="eastAsia"/>
          <w:sz w:val="21"/>
          <w:szCs w:val="21"/>
        </w:rPr>
        <w:t>2018</w:t>
      </w:r>
      <w:r>
        <w:rPr>
          <w:rFonts w:ascii="华文楷体" w:eastAsia="华文楷体" w:hAnsi="华文楷体" w:cs="华文楷体" w:hint="eastAsia"/>
          <w:sz w:val="21"/>
          <w:szCs w:val="21"/>
        </w:rPr>
        <w:t>年</w:t>
      </w:r>
      <w:r>
        <w:rPr>
          <w:rFonts w:ascii="华文楷体" w:eastAsia="华文楷体" w:hAnsi="华文楷体" w:cs="华文楷体" w:hint="eastAsia"/>
          <w:sz w:val="21"/>
          <w:szCs w:val="21"/>
        </w:rPr>
        <w:t>3</w:t>
      </w:r>
      <w:r>
        <w:rPr>
          <w:rFonts w:ascii="华文楷体" w:eastAsia="华文楷体" w:hAnsi="华文楷体" w:cs="华文楷体" w:hint="eastAsia"/>
          <w:sz w:val="21"/>
          <w:szCs w:val="21"/>
        </w:rPr>
        <w:t>月</w:t>
      </w:r>
      <w:r>
        <w:rPr>
          <w:rFonts w:ascii="华文楷体" w:eastAsia="华文楷体" w:hAnsi="华文楷体" w:cs="华文楷体" w:hint="eastAsia"/>
          <w:sz w:val="21"/>
          <w:szCs w:val="21"/>
        </w:rPr>
        <w:t>13</w:t>
      </w:r>
      <w:r>
        <w:rPr>
          <w:rFonts w:ascii="华文楷体" w:eastAsia="华文楷体" w:hAnsi="华文楷体" w:cs="华文楷体" w:hint="eastAsia"/>
          <w:sz w:val="21"/>
          <w:szCs w:val="21"/>
        </w:rPr>
        <w:t>日</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来源：沟通交流、中国人民银行</w:t>
      </w:r>
    </w:p>
    <w:p w14:paraId="7DA23187" w14:textId="77777777" w:rsidR="00ED5EBF" w:rsidRDefault="00ED5EBF">
      <w:pPr>
        <w:spacing w:line="360" w:lineRule="auto"/>
        <w:jc w:val="center"/>
        <w:rPr>
          <w:rFonts w:ascii="华文楷体" w:eastAsia="华文楷体" w:hAnsi="华文楷体" w:cs="华文楷体"/>
          <w:sz w:val="21"/>
          <w:szCs w:val="21"/>
        </w:rPr>
      </w:pPr>
    </w:p>
    <w:p w14:paraId="5252FEBB"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中国人民银行决定自</w:t>
      </w:r>
      <w:r>
        <w:rPr>
          <w:rFonts w:ascii="华文楷体" w:eastAsia="华文楷体" w:hAnsi="华文楷体" w:cs="华文楷体" w:hint="eastAsia"/>
        </w:rPr>
        <w:t>2018</w:t>
      </w:r>
      <w:r>
        <w:rPr>
          <w:rFonts w:ascii="华文楷体" w:eastAsia="华文楷体" w:hAnsi="华文楷体" w:cs="华文楷体" w:hint="eastAsia"/>
        </w:rPr>
        <w:t>年</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22</w:t>
      </w:r>
      <w:r>
        <w:rPr>
          <w:rFonts w:ascii="华文楷体" w:eastAsia="华文楷体" w:hAnsi="华文楷体" w:cs="华文楷体" w:hint="eastAsia"/>
        </w:rPr>
        <w:t>日起发行</w:t>
      </w:r>
      <w:r>
        <w:rPr>
          <w:rFonts w:ascii="华文楷体" w:eastAsia="华文楷体" w:hAnsi="华文楷体" w:cs="华文楷体" w:hint="eastAsia"/>
        </w:rPr>
        <w:t>2018</w:t>
      </w:r>
      <w:r>
        <w:rPr>
          <w:rFonts w:ascii="华文楷体" w:eastAsia="华文楷体" w:hAnsi="华文楷体" w:cs="华文楷体" w:hint="eastAsia"/>
        </w:rPr>
        <w:t>吉祥文化金银纪念币一套。该套金银纪念币共</w:t>
      </w:r>
      <w:r>
        <w:rPr>
          <w:rFonts w:ascii="华文楷体" w:eastAsia="华文楷体" w:hAnsi="华文楷体" w:cs="华文楷体" w:hint="eastAsia"/>
        </w:rPr>
        <w:t>8</w:t>
      </w:r>
      <w:r>
        <w:rPr>
          <w:rFonts w:ascii="华文楷体" w:eastAsia="华文楷体" w:hAnsi="华文楷体" w:cs="华文楷体" w:hint="eastAsia"/>
        </w:rPr>
        <w:t>枚，其中金币</w:t>
      </w:r>
      <w:r>
        <w:rPr>
          <w:rFonts w:ascii="华文楷体" w:eastAsia="华文楷体" w:hAnsi="华文楷体" w:cs="华文楷体" w:hint="eastAsia"/>
        </w:rPr>
        <w:t>4</w:t>
      </w:r>
      <w:r>
        <w:rPr>
          <w:rFonts w:ascii="华文楷体" w:eastAsia="华文楷体" w:hAnsi="华文楷体" w:cs="华文楷体" w:hint="eastAsia"/>
        </w:rPr>
        <w:t>枚，银币</w:t>
      </w:r>
      <w:r>
        <w:rPr>
          <w:rFonts w:ascii="华文楷体" w:eastAsia="华文楷体" w:hAnsi="华文楷体" w:cs="华文楷体" w:hint="eastAsia"/>
        </w:rPr>
        <w:t>4</w:t>
      </w:r>
      <w:r>
        <w:rPr>
          <w:rFonts w:ascii="华文楷体" w:eastAsia="华文楷体" w:hAnsi="华文楷体" w:cs="华文楷体" w:hint="eastAsia"/>
        </w:rPr>
        <w:t>枚，均为中华人民共和国法定货币。</w:t>
      </w:r>
    </w:p>
    <w:p w14:paraId="55031AFB"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一、纪念币图案</w:t>
      </w:r>
    </w:p>
    <w:p w14:paraId="732F0139"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（一）正面图案。</w:t>
      </w:r>
    </w:p>
    <w:p w14:paraId="6D4ED314"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该套金银纪念币正面图案均为中华人民共和国国徽，并刊国名、年号。</w:t>
      </w:r>
    </w:p>
    <w:p w14:paraId="04048B59"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（二）背面图案。</w:t>
      </w:r>
    </w:p>
    <w:p w14:paraId="3D628A28"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5</w:t>
      </w:r>
      <w:r>
        <w:rPr>
          <w:rFonts w:ascii="华文楷体" w:eastAsia="华文楷体" w:hAnsi="华文楷体" w:cs="华文楷体" w:hint="eastAsia"/>
        </w:rPr>
        <w:t>克圆形金质、</w:t>
      </w:r>
      <w:r>
        <w:rPr>
          <w:rFonts w:ascii="华文楷体" w:eastAsia="华文楷体" w:hAnsi="华文楷体" w:cs="华文楷体" w:hint="eastAsia"/>
        </w:rPr>
        <w:t>30</w:t>
      </w:r>
      <w:r>
        <w:rPr>
          <w:rFonts w:ascii="华文楷体" w:eastAsia="华文楷体" w:hAnsi="华文楷体" w:cs="华文楷体" w:hint="eastAsia"/>
        </w:rPr>
        <w:t>克圆形银质“寿居耄耋”纪念币（</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22</w:t>
      </w:r>
      <w:r>
        <w:rPr>
          <w:rFonts w:ascii="华文楷体" w:eastAsia="华文楷体" w:hAnsi="华文楷体" w:cs="华文楷体" w:hint="eastAsia"/>
        </w:rPr>
        <w:t>日发行）背面图案均为寿石、吉祥花卉、猫及蝴蝶等组合图案，并刊“寿居耄耋”字样及面额。</w:t>
      </w:r>
    </w:p>
    <w:p w14:paraId="085AFC8C"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5</w:t>
      </w:r>
      <w:r>
        <w:rPr>
          <w:rFonts w:ascii="华文楷体" w:eastAsia="华文楷体" w:hAnsi="华文楷体" w:cs="华文楷体" w:hint="eastAsia"/>
        </w:rPr>
        <w:t>克圆形金质、</w:t>
      </w:r>
      <w:r>
        <w:rPr>
          <w:rFonts w:ascii="华文楷体" w:eastAsia="华文楷体" w:hAnsi="华文楷体" w:cs="华文楷体" w:hint="eastAsia"/>
        </w:rPr>
        <w:t>30</w:t>
      </w:r>
      <w:r>
        <w:rPr>
          <w:rFonts w:ascii="华文楷体" w:eastAsia="华文楷体" w:hAnsi="华文楷体" w:cs="华文楷体" w:hint="eastAsia"/>
        </w:rPr>
        <w:t>克圆形银质“榴开百子”纪念币（</w:t>
      </w:r>
      <w:r>
        <w:rPr>
          <w:rFonts w:ascii="华文楷体" w:eastAsia="华文楷体" w:hAnsi="华文楷体" w:cs="华文楷体" w:hint="eastAsia"/>
        </w:rPr>
        <w:t>4</w:t>
      </w:r>
      <w:r>
        <w:rPr>
          <w:rFonts w:ascii="华文楷体" w:eastAsia="华文楷体" w:hAnsi="华文楷体" w:cs="华文楷体" w:hint="eastAsia"/>
        </w:rPr>
        <w:t>月</w:t>
      </w:r>
      <w:r>
        <w:rPr>
          <w:rFonts w:ascii="华文楷体" w:eastAsia="华文楷体" w:hAnsi="华文楷体" w:cs="华文楷体" w:hint="eastAsia"/>
        </w:rPr>
        <w:t>20</w:t>
      </w:r>
      <w:r>
        <w:rPr>
          <w:rFonts w:ascii="华文楷体" w:eastAsia="华文楷体" w:hAnsi="华文楷体" w:cs="华文楷体" w:hint="eastAsia"/>
        </w:rPr>
        <w:t>日发行）背面图案均为石榴、童子组合图案，并刊“榴开百子”字样及面额。</w:t>
      </w:r>
    </w:p>
    <w:p w14:paraId="25973C6F"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5</w:t>
      </w:r>
      <w:r>
        <w:rPr>
          <w:rFonts w:ascii="华文楷体" w:eastAsia="华文楷体" w:hAnsi="华文楷体" w:cs="华文楷体" w:hint="eastAsia"/>
        </w:rPr>
        <w:t>克心形金质、</w:t>
      </w:r>
      <w:r>
        <w:rPr>
          <w:rFonts w:ascii="华文楷体" w:eastAsia="华文楷体" w:hAnsi="华文楷体" w:cs="华文楷体" w:hint="eastAsia"/>
        </w:rPr>
        <w:t>30</w:t>
      </w:r>
      <w:r>
        <w:rPr>
          <w:rFonts w:ascii="华文楷体" w:eastAsia="华文楷体" w:hAnsi="华文楷体" w:cs="华文楷体" w:hint="eastAsia"/>
        </w:rPr>
        <w:t>克心形银质“珠联璧合”纪念币（</w:t>
      </w:r>
      <w:r>
        <w:rPr>
          <w:rFonts w:ascii="华文楷体" w:eastAsia="华文楷体" w:hAnsi="华文楷体" w:cs="华文楷体" w:hint="eastAsia"/>
        </w:rPr>
        <w:t>5</w:t>
      </w:r>
      <w:r>
        <w:rPr>
          <w:rFonts w:ascii="华文楷体" w:eastAsia="华文楷体" w:hAnsi="华文楷体" w:cs="华文楷体" w:hint="eastAsia"/>
        </w:rPr>
        <w:t>月</w:t>
      </w:r>
      <w:r>
        <w:rPr>
          <w:rFonts w:ascii="华文楷体" w:eastAsia="华文楷体" w:hAnsi="华文楷体" w:cs="华文楷体" w:hint="eastAsia"/>
        </w:rPr>
        <w:t>18</w:t>
      </w:r>
      <w:r>
        <w:rPr>
          <w:rFonts w:ascii="华文楷体" w:eastAsia="华文楷体" w:hAnsi="华文楷体" w:cs="华文楷体" w:hint="eastAsia"/>
        </w:rPr>
        <w:t>日发行）背面图案均为珍珠、玉璧、金鱼及荷叶等组合图案，并刊“珠联璧合”字样及面额。</w:t>
      </w:r>
    </w:p>
    <w:p w14:paraId="35F6434B"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5</w:t>
      </w:r>
      <w:r>
        <w:rPr>
          <w:rFonts w:ascii="华文楷体" w:eastAsia="华文楷体" w:hAnsi="华文楷体" w:cs="华文楷体" w:hint="eastAsia"/>
        </w:rPr>
        <w:t>克圆形金质、</w:t>
      </w:r>
      <w:r>
        <w:rPr>
          <w:rFonts w:ascii="华文楷体" w:eastAsia="华文楷体" w:hAnsi="华文楷体" w:cs="华文楷体" w:hint="eastAsia"/>
        </w:rPr>
        <w:t>30</w:t>
      </w:r>
      <w:r>
        <w:rPr>
          <w:rFonts w:ascii="华文楷体" w:eastAsia="华文楷体" w:hAnsi="华文楷体" w:cs="华文楷体" w:hint="eastAsia"/>
        </w:rPr>
        <w:t>克圆形银质“喜上眉梢”纪念币（</w:t>
      </w:r>
      <w:r>
        <w:rPr>
          <w:rFonts w:ascii="华文楷体" w:eastAsia="华文楷体" w:hAnsi="华文楷体" w:cs="华文楷体" w:hint="eastAsia"/>
        </w:rPr>
        <w:t>6</w:t>
      </w:r>
      <w:r>
        <w:rPr>
          <w:rFonts w:ascii="华文楷体" w:eastAsia="华文楷体" w:hAnsi="华文楷体" w:cs="华文楷体" w:hint="eastAsia"/>
        </w:rPr>
        <w:t>月</w:t>
      </w:r>
      <w:r>
        <w:rPr>
          <w:rFonts w:ascii="华文楷体" w:eastAsia="华文楷体" w:hAnsi="华文楷体" w:cs="华文楷体" w:hint="eastAsia"/>
        </w:rPr>
        <w:t>20</w:t>
      </w:r>
      <w:r>
        <w:rPr>
          <w:rFonts w:ascii="华文楷体" w:eastAsia="华文楷体" w:hAnsi="华文楷体" w:cs="华文楷体" w:hint="eastAsia"/>
        </w:rPr>
        <w:t>日发行）背面图案均为喜鹊、梅花组合图案，并刊“喜上眉梢”字样及面额。</w:t>
      </w:r>
    </w:p>
    <w:p w14:paraId="43806D56"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二、纪念币规格和发行量</w:t>
      </w:r>
    </w:p>
    <w:p w14:paraId="30EF54F5"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5</w:t>
      </w:r>
      <w:r>
        <w:rPr>
          <w:rFonts w:ascii="华文楷体" w:eastAsia="华文楷体" w:hAnsi="华文楷体" w:cs="华文楷体" w:hint="eastAsia"/>
        </w:rPr>
        <w:t>克圆形金质纪念币为精制币（</w:t>
      </w:r>
      <w:r>
        <w:rPr>
          <w:rFonts w:ascii="华文楷体" w:eastAsia="华文楷体" w:hAnsi="华文楷体" w:cs="华文楷体" w:hint="eastAsia"/>
        </w:rPr>
        <w:t>3</w:t>
      </w:r>
      <w:r>
        <w:rPr>
          <w:rFonts w:ascii="华文楷体" w:eastAsia="华文楷体" w:hAnsi="华文楷体" w:cs="华文楷体" w:hint="eastAsia"/>
        </w:rPr>
        <w:t>枚），含纯金</w:t>
      </w:r>
      <w:r>
        <w:rPr>
          <w:rFonts w:ascii="华文楷体" w:eastAsia="华文楷体" w:hAnsi="华文楷体" w:cs="华文楷体" w:hint="eastAsia"/>
        </w:rPr>
        <w:t>5</w:t>
      </w:r>
      <w:r>
        <w:rPr>
          <w:rFonts w:ascii="华文楷体" w:eastAsia="华文楷体" w:hAnsi="华文楷体" w:cs="华文楷体" w:hint="eastAsia"/>
        </w:rPr>
        <w:t>克，直径</w:t>
      </w:r>
      <w:r>
        <w:rPr>
          <w:rFonts w:ascii="华文楷体" w:eastAsia="华文楷体" w:hAnsi="华文楷体" w:cs="华文楷体" w:hint="eastAsia"/>
        </w:rPr>
        <w:t>20</w:t>
      </w:r>
      <w:r>
        <w:rPr>
          <w:rFonts w:ascii="华文楷体" w:eastAsia="华文楷体" w:hAnsi="华文楷体" w:cs="华文楷体" w:hint="eastAsia"/>
        </w:rPr>
        <w:t>毫米，面额</w:t>
      </w:r>
      <w:r>
        <w:rPr>
          <w:rFonts w:ascii="华文楷体" w:eastAsia="华文楷体" w:hAnsi="华文楷体" w:cs="华文楷体" w:hint="eastAsia"/>
        </w:rPr>
        <w:t>80</w:t>
      </w:r>
      <w:r>
        <w:rPr>
          <w:rFonts w:ascii="华文楷体" w:eastAsia="华文楷体" w:hAnsi="华文楷体" w:cs="华文楷体" w:hint="eastAsia"/>
        </w:rPr>
        <w:t>元，成色</w:t>
      </w:r>
      <w:r>
        <w:rPr>
          <w:rFonts w:ascii="华文楷体" w:eastAsia="华文楷体" w:hAnsi="华文楷体" w:cs="华文楷体" w:hint="eastAsia"/>
        </w:rPr>
        <w:t>99.9%</w:t>
      </w:r>
      <w:r>
        <w:rPr>
          <w:rFonts w:ascii="华文楷体" w:eastAsia="华文楷体" w:hAnsi="华文楷体" w:cs="华文楷体" w:hint="eastAsia"/>
        </w:rPr>
        <w:t>，最大发</w:t>
      </w:r>
      <w:r>
        <w:rPr>
          <w:rFonts w:ascii="华文楷体" w:eastAsia="华文楷体" w:hAnsi="华文楷体" w:cs="华文楷体" w:hint="eastAsia"/>
        </w:rPr>
        <w:t>行量</w:t>
      </w:r>
      <w:r>
        <w:rPr>
          <w:rFonts w:ascii="华文楷体" w:eastAsia="华文楷体" w:hAnsi="华文楷体" w:cs="华文楷体" w:hint="eastAsia"/>
        </w:rPr>
        <w:t>3</w:t>
      </w:r>
      <w:r>
        <w:rPr>
          <w:rFonts w:ascii="华文楷体" w:eastAsia="华文楷体" w:hAnsi="华文楷体" w:cs="华文楷体" w:hint="eastAsia"/>
        </w:rPr>
        <w:t>×</w:t>
      </w:r>
      <w:r>
        <w:rPr>
          <w:rFonts w:ascii="华文楷体" w:eastAsia="华文楷体" w:hAnsi="华文楷体" w:cs="华文楷体" w:hint="eastAsia"/>
        </w:rPr>
        <w:t>30000</w:t>
      </w:r>
      <w:r>
        <w:rPr>
          <w:rFonts w:ascii="华文楷体" w:eastAsia="华文楷体" w:hAnsi="华文楷体" w:cs="华文楷体" w:hint="eastAsia"/>
        </w:rPr>
        <w:t>枚。</w:t>
      </w:r>
    </w:p>
    <w:p w14:paraId="689B173D"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30</w:t>
      </w:r>
      <w:r>
        <w:rPr>
          <w:rFonts w:ascii="华文楷体" w:eastAsia="华文楷体" w:hAnsi="华文楷体" w:cs="华文楷体" w:hint="eastAsia"/>
        </w:rPr>
        <w:t>克圆形银质纪念币为精制币（</w:t>
      </w:r>
      <w:r>
        <w:rPr>
          <w:rFonts w:ascii="华文楷体" w:eastAsia="华文楷体" w:hAnsi="华文楷体" w:cs="华文楷体" w:hint="eastAsia"/>
        </w:rPr>
        <w:t>3</w:t>
      </w:r>
      <w:r>
        <w:rPr>
          <w:rFonts w:ascii="华文楷体" w:eastAsia="华文楷体" w:hAnsi="华文楷体" w:cs="华文楷体" w:hint="eastAsia"/>
        </w:rPr>
        <w:t>枚），含纯银</w:t>
      </w:r>
      <w:r>
        <w:rPr>
          <w:rFonts w:ascii="华文楷体" w:eastAsia="华文楷体" w:hAnsi="华文楷体" w:cs="华文楷体" w:hint="eastAsia"/>
        </w:rPr>
        <w:t>30</w:t>
      </w:r>
      <w:r>
        <w:rPr>
          <w:rFonts w:ascii="华文楷体" w:eastAsia="华文楷体" w:hAnsi="华文楷体" w:cs="华文楷体" w:hint="eastAsia"/>
        </w:rPr>
        <w:t>克，直径</w:t>
      </w:r>
      <w:r>
        <w:rPr>
          <w:rFonts w:ascii="华文楷体" w:eastAsia="华文楷体" w:hAnsi="华文楷体" w:cs="华文楷体" w:hint="eastAsia"/>
        </w:rPr>
        <w:t>40</w:t>
      </w:r>
      <w:r>
        <w:rPr>
          <w:rFonts w:ascii="华文楷体" w:eastAsia="华文楷体" w:hAnsi="华文楷体" w:cs="华文楷体" w:hint="eastAsia"/>
        </w:rPr>
        <w:t>毫米，面额</w:t>
      </w:r>
      <w:r>
        <w:rPr>
          <w:rFonts w:ascii="华文楷体" w:eastAsia="华文楷体" w:hAnsi="华文楷体" w:cs="华文楷体" w:hint="eastAsia"/>
        </w:rPr>
        <w:t>10</w:t>
      </w:r>
      <w:r>
        <w:rPr>
          <w:rFonts w:ascii="华文楷体" w:eastAsia="华文楷体" w:hAnsi="华文楷体" w:cs="华文楷体" w:hint="eastAsia"/>
        </w:rPr>
        <w:t>元，成色</w:t>
      </w:r>
      <w:r>
        <w:rPr>
          <w:rFonts w:ascii="华文楷体" w:eastAsia="华文楷体" w:hAnsi="华文楷体" w:cs="华文楷体" w:hint="eastAsia"/>
        </w:rPr>
        <w:t>99.9%</w:t>
      </w:r>
      <w:r>
        <w:rPr>
          <w:rFonts w:ascii="华文楷体" w:eastAsia="华文楷体" w:hAnsi="华文楷体" w:cs="华文楷体" w:hint="eastAsia"/>
        </w:rPr>
        <w:t>，最大发行量</w:t>
      </w:r>
      <w:r>
        <w:rPr>
          <w:rFonts w:ascii="华文楷体" w:eastAsia="华文楷体" w:hAnsi="华文楷体" w:cs="华文楷体" w:hint="eastAsia"/>
        </w:rPr>
        <w:t>3</w:t>
      </w:r>
      <w:r>
        <w:rPr>
          <w:rFonts w:ascii="华文楷体" w:eastAsia="华文楷体" w:hAnsi="华文楷体" w:cs="华文楷体" w:hint="eastAsia"/>
        </w:rPr>
        <w:t>×</w:t>
      </w:r>
      <w:r>
        <w:rPr>
          <w:rFonts w:ascii="华文楷体" w:eastAsia="华文楷体" w:hAnsi="华文楷体" w:cs="华文楷体" w:hint="eastAsia"/>
        </w:rPr>
        <w:t>60000</w:t>
      </w:r>
      <w:r>
        <w:rPr>
          <w:rFonts w:ascii="华文楷体" w:eastAsia="华文楷体" w:hAnsi="华文楷体" w:cs="华文楷体" w:hint="eastAsia"/>
        </w:rPr>
        <w:t>枚。</w:t>
      </w:r>
    </w:p>
    <w:p w14:paraId="20D77001"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5</w:t>
      </w:r>
      <w:r>
        <w:rPr>
          <w:rFonts w:ascii="华文楷体" w:eastAsia="华文楷体" w:hAnsi="华文楷体" w:cs="华文楷体" w:hint="eastAsia"/>
        </w:rPr>
        <w:t>克心形金质纪念币为精制币（</w:t>
      </w:r>
      <w:r>
        <w:rPr>
          <w:rFonts w:ascii="华文楷体" w:eastAsia="华文楷体" w:hAnsi="华文楷体" w:cs="华文楷体" w:hint="eastAsia"/>
        </w:rPr>
        <w:t>1</w:t>
      </w:r>
      <w:r>
        <w:rPr>
          <w:rFonts w:ascii="华文楷体" w:eastAsia="华文楷体" w:hAnsi="华文楷体" w:cs="华文楷体" w:hint="eastAsia"/>
        </w:rPr>
        <w:t>枚），含纯金</w:t>
      </w:r>
      <w:r>
        <w:rPr>
          <w:rFonts w:ascii="华文楷体" w:eastAsia="华文楷体" w:hAnsi="华文楷体" w:cs="华文楷体" w:hint="eastAsia"/>
        </w:rPr>
        <w:t>5</w:t>
      </w:r>
      <w:r>
        <w:rPr>
          <w:rFonts w:ascii="华文楷体" w:eastAsia="华文楷体" w:hAnsi="华文楷体" w:cs="华文楷体" w:hint="eastAsia"/>
        </w:rPr>
        <w:t>克，外接正方形边长</w:t>
      </w:r>
      <w:r>
        <w:rPr>
          <w:rFonts w:ascii="华文楷体" w:eastAsia="华文楷体" w:hAnsi="华文楷体" w:cs="华文楷体" w:hint="eastAsia"/>
        </w:rPr>
        <w:t>20</w:t>
      </w:r>
      <w:r>
        <w:rPr>
          <w:rFonts w:ascii="华文楷体" w:eastAsia="华文楷体" w:hAnsi="华文楷体" w:cs="华文楷体" w:hint="eastAsia"/>
        </w:rPr>
        <w:t>毫米，面额</w:t>
      </w:r>
      <w:r>
        <w:rPr>
          <w:rFonts w:ascii="华文楷体" w:eastAsia="华文楷体" w:hAnsi="华文楷体" w:cs="华文楷体" w:hint="eastAsia"/>
        </w:rPr>
        <w:t>80</w:t>
      </w:r>
      <w:r>
        <w:rPr>
          <w:rFonts w:ascii="华文楷体" w:eastAsia="华文楷体" w:hAnsi="华文楷体" w:cs="华文楷体" w:hint="eastAsia"/>
        </w:rPr>
        <w:t>元，成色</w:t>
      </w:r>
      <w:r>
        <w:rPr>
          <w:rFonts w:ascii="华文楷体" w:eastAsia="华文楷体" w:hAnsi="华文楷体" w:cs="华文楷体" w:hint="eastAsia"/>
        </w:rPr>
        <w:t>99.9%</w:t>
      </w:r>
      <w:r>
        <w:rPr>
          <w:rFonts w:ascii="华文楷体" w:eastAsia="华文楷体" w:hAnsi="华文楷体" w:cs="华文楷体" w:hint="eastAsia"/>
        </w:rPr>
        <w:t>，最大发行量</w:t>
      </w:r>
      <w:r>
        <w:rPr>
          <w:rFonts w:ascii="华文楷体" w:eastAsia="华文楷体" w:hAnsi="华文楷体" w:cs="华文楷体" w:hint="eastAsia"/>
        </w:rPr>
        <w:t>30000</w:t>
      </w:r>
      <w:r>
        <w:rPr>
          <w:rFonts w:ascii="华文楷体" w:eastAsia="华文楷体" w:hAnsi="华文楷体" w:cs="华文楷体" w:hint="eastAsia"/>
        </w:rPr>
        <w:t>枚。</w:t>
      </w:r>
    </w:p>
    <w:p w14:paraId="03F09EF9"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30</w:t>
      </w:r>
      <w:r>
        <w:rPr>
          <w:rFonts w:ascii="华文楷体" w:eastAsia="华文楷体" w:hAnsi="华文楷体" w:cs="华文楷体" w:hint="eastAsia"/>
        </w:rPr>
        <w:t>克心形银质纪念币为精制币（</w:t>
      </w:r>
      <w:r>
        <w:rPr>
          <w:rFonts w:ascii="华文楷体" w:eastAsia="华文楷体" w:hAnsi="华文楷体" w:cs="华文楷体" w:hint="eastAsia"/>
        </w:rPr>
        <w:t>1</w:t>
      </w:r>
      <w:r>
        <w:rPr>
          <w:rFonts w:ascii="华文楷体" w:eastAsia="华文楷体" w:hAnsi="华文楷体" w:cs="华文楷体" w:hint="eastAsia"/>
        </w:rPr>
        <w:t>枚），含纯银</w:t>
      </w:r>
      <w:r>
        <w:rPr>
          <w:rFonts w:ascii="华文楷体" w:eastAsia="华文楷体" w:hAnsi="华文楷体" w:cs="华文楷体" w:hint="eastAsia"/>
        </w:rPr>
        <w:t>30</w:t>
      </w:r>
      <w:r>
        <w:rPr>
          <w:rFonts w:ascii="华文楷体" w:eastAsia="华文楷体" w:hAnsi="华文楷体" w:cs="华文楷体" w:hint="eastAsia"/>
        </w:rPr>
        <w:t>克，外接正方形边长</w:t>
      </w:r>
      <w:r>
        <w:rPr>
          <w:rFonts w:ascii="华文楷体" w:eastAsia="华文楷体" w:hAnsi="华文楷体" w:cs="华文楷体" w:hint="eastAsia"/>
        </w:rPr>
        <w:t>40</w:t>
      </w:r>
      <w:r>
        <w:rPr>
          <w:rFonts w:ascii="华文楷体" w:eastAsia="华文楷体" w:hAnsi="华文楷体" w:cs="华文楷体" w:hint="eastAsia"/>
        </w:rPr>
        <w:t>毫米，面额</w:t>
      </w:r>
      <w:r>
        <w:rPr>
          <w:rFonts w:ascii="华文楷体" w:eastAsia="华文楷体" w:hAnsi="华文楷体" w:cs="华文楷体" w:hint="eastAsia"/>
        </w:rPr>
        <w:t>10</w:t>
      </w:r>
      <w:r>
        <w:rPr>
          <w:rFonts w:ascii="华文楷体" w:eastAsia="华文楷体" w:hAnsi="华文楷体" w:cs="华文楷体" w:hint="eastAsia"/>
        </w:rPr>
        <w:t>元，成色</w:t>
      </w:r>
      <w:r>
        <w:rPr>
          <w:rFonts w:ascii="华文楷体" w:eastAsia="华文楷体" w:hAnsi="华文楷体" w:cs="华文楷体" w:hint="eastAsia"/>
        </w:rPr>
        <w:t>99.9%</w:t>
      </w:r>
      <w:r>
        <w:rPr>
          <w:rFonts w:ascii="华文楷体" w:eastAsia="华文楷体" w:hAnsi="华文楷体" w:cs="华文楷体" w:hint="eastAsia"/>
        </w:rPr>
        <w:t>，最大发行量</w:t>
      </w:r>
      <w:r>
        <w:rPr>
          <w:rFonts w:ascii="华文楷体" w:eastAsia="华文楷体" w:hAnsi="华文楷体" w:cs="华文楷体" w:hint="eastAsia"/>
        </w:rPr>
        <w:t>60000</w:t>
      </w:r>
      <w:r>
        <w:rPr>
          <w:rFonts w:ascii="华文楷体" w:eastAsia="华文楷体" w:hAnsi="华文楷体" w:cs="华文楷体" w:hint="eastAsia"/>
        </w:rPr>
        <w:t>枚。</w:t>
      </w:r>
    </w:p>
    <w:p w14:paraId="410F6A4F"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三、该套金银纪念币分别由深圳国宝造币有限公司、沈阳造币有限公司和上海造币有限公司铸造，中国金币总公司总经销。</w:t>
      </w:r>
      <w:r>
        <w:rPr>
          <w:rFonts w:ascii="华文楷体" w:eastAsia="华文楷体" w:hAnsi="华文楷体" w:cs="华文楷体" w:hint="eastAsia"/>
        </w:rPr>
        <w:t>销售渠道详见中国金币网（</w:t>
      </w:r>
      <w:r>
        <w:rPr>
          <w:rFonts w:ascii="华文楷体" w:eastAsia="华文楷体" w:hAnsi="华文楷体" w:cs="华文楷体" w:hint="eastAsia"/>
        </w:rPr>
        <w:t>www.chngc.net</w:t>
      </w:r>
      <w:r>
        <w:rPr>
          <w:rFonts w:ascii="华文楷体" w:eastAsia="华文楷体" w:hAnsi="华文楷体" w:cs="华文楷体" w:hint="eastAsia"/>
        </w:rPr>
        <w:t>）。</w:t>
      </w:r>
    </w:p>
    <w:p w14:paraId="076E26DA" w14:textId="77777777" w:rsidR="00ED5EBF" w:rsidRDefault="002034C8">
      <w:pPr>
        <w:spacing w:line="360" w:lineRule="auto"/>
        <w:ind w:firstLineChars="200" w:firstLine="480"/>
        <w:jc w:val="right"/>
        <w:rPr>
          <w:rFonts w:ascii="华文楷体" w:eastAsia="华文楷体" w:hAnsi="华文楷体" w:cs="华文楷体"/>
        </w:rPr>
      </w:pPr>
      <w:r>
        <w:rPr>
          <w:rFonts w:ascii="华文楷体" w:eastAsia="华文楷体" w:hAnsi="华文楷体" w:cs="华文楷体" w:hint="eastAsia"/>
        </w:rPr>
        <w:t>中国人民银行</w:t>
      </w:r>
    </w:p>
    <w:p w14:paraId="27D53DFB" w14:textId="77777777" w:rsidR="00ED5EBF" w:rsidRDefault="002034C8">
      <w:pPr>
        <w:spacing w:line="360" w:lineRule="auto"/>
        <w:ind w:firstLineChars="200" w:firstLine="480"/>
        <w:jc w:val="right"/>
        <w:rPr>
          <w:rFonts w:ascii="华文楷体" w:eastAsia="华文楷体" w:hAnsi="华文楷体" w:cs="华文楷体"/>
        </w:rPr>
      </w:pPr>
      <w:r>
        <w:rPr>
          <w:rFonts w:ascii="华文楷体" w:eastAsia="华文楷体" w:hAnsi="华文楷体" w:cs="华文楷体" w:hint="eastAsia"/>
        </w:rPr>
        <w:t>2018</w:t>
      </w:r>
      <w:r>
        <w:rPr>
          <w:rFonts w:ascii="华文楷体" w:eastAsia="华文楷体" w:hAnsi="华文楷体" w:cs="华文楷体" w:hint="eastAsia"/>
        </w:rPr>
        <w:t>年</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8</w:t>
      </w:r>
      <w:r>
        <w:rPr>
          <w:rFonts w:ascii="华文楷体" w:eastAsia="华文楷体" w:hAnsi="华文楷体" w:cs="华文楷体" w:hint="eastAsia"/>
        </w:rPr>
        <w:t>日</w:t>
      </w:r>
    </w:p>
    <w:p w14:paraId="3AB79648" w14:textId="77777777" w:rsidR="00ED5EBF" w:rsidRDefault="00ED5EBF">
      <w:pPr>
        <w:spacing w:line="360" w:lineRule="auto"/>
        <w:ind w:firstLineChars="200" w:firstLine="480"/>
        <w:jc w:val="left"/>
        <w:rPr>
          <w:rFonts w:ascii="华文楷体" w:eastAsia="华文楷体" w:hAnsi="华文楷体" w:cs="华文楷体"/>
        </w:rPr>
      </w:pPr>
    </w:p>
    <w:p w14:paraId="300D28AA" w14:textId="77777777" w:rsidR="00ED5EBF" w:rsidRDefault="002034C8">
      <w:pPr>
        <w:spacing w:line="360" w:lineRule="auto"/>
        <w:ind w:firstLineChars="200" w:firstLine="480"/>
        <w:jc w:val="left"/>
        <w:rPr>
          <w:rFonts w:ascii="华文楷体" w:eastAsia="华文楷体" w:hAnsi="华文楷体" w:cs="华文楷体"/>
        </w:rPr>
      </w:pPr>
      <w:r>
        <w:rPr>
          <w:rFonts w:ascii="华文楷体" w:eastAsia="华文楷体" w:hAnsi="华文楷体" w:cs="华文楷体" w:hint="eastAsia"/>
        </w:rPr>
        <w:t>2018</w:t>
      </w:r>
      <w:r>
        <w:rPr>
          <w:rFonts w:ascii="华文楷体" w:eastAsia="华文楷体" w:hAnsi="华文楷体" w:cs="华文楷体" w:hint="eastAsia"/>
        </w:rPr>
        <w:t>吉祥文化金银纪念币图案</w:t>
      </w:r>
    </w:p>
    <w:p w14:paraId="03DDD9CD" w14:textId="77777777" w:rsidR="00ED5EBF" w:rsidRDefault="002034C8">
      <w:pPr>
        <w:spacing w:line="360" w:lineRule="auto"/>
        <w:ind w:firstLineChars="200" w:firstLine="480"/>
        <w:jc w:val="center"/>
      </w:pPr>
      <w:r>
        <w:rPr>
          <w:noProof/>
        </w:rPr>
        <w:drawing>
          <wp:inline distT="0" distB="0" distL="114300" distR="114300" wp14:anchorId="0AB7F627" wp14:editId="4E6AE0F4">
            <wp:extent cx="1800225" cy="1800225"/>
            <wp:effectExtent l="0" t="0" r="9525" b="9525"/>
            <wp:docPr id="2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5"/>
                    <pic:cNvPicPr>
                      <a:picLocks noChangeAspect="1"/>
                    </pic:cNvPicPr>
                  </pic:nvPicPr>
                  <pic:blipFill>
                    <a:blip r:embed="rId17"/>
                    <a:stretch>
                      <a:fillRect/>
                    </a:stretch>
                  </pic:blipFill>
                  <pic:spPr>
                    <a:xfrm>
                      <a:off x="0" y="0"/>
                      <a:ext cx="1800225" cy="1800225"/>
                    </a:xfrm>
                    <a:prstGeom prst="rect">
                      <a:avLst/>
                    </a:prstGeom>
                    <a:noFill/>
                    <a:ln w="9525">
                      <a:noFill/>
                    </a:ln>
                  </pic:spPr>
                </pic:pic>
              </a:graphicData>
            </a:graphic>
          </wp:inline>
        </w:drawing>
      </w:r>
    </w:p>
    <w:p w14:paraId="70F9515B" w14:textId="77777777" w:rsidR="00ED5EBF" w:rsidRDefault="002034C8">
      <w:pPr>
        <w:spacing w:line="360" w:lineRule="auto"/>
        <w:ind w:firstLineChars="200" w:firstLine="480"/>
        <w:jc w:val="center"/>
      </w:pPr>
      <w:r>
        <w:rPr>
          <w:noProof/>
        </w:rPr>
        <w:drawing>
          <wp:inline distT="0" distB="0" distL="114300" distR="114300" wp14:anchorId="7544BF9D" wp14:editId="6977D51B">
            <wp:extent cx="1800225" cy="1800225"/>
            <wp:effectExtent l="0" t="0" r="9525" b="9525"/>
            <wp:docPr id="2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6"/>
                    <pic:cNvPicPr>
                      <a:picLocks noChangeAspect="1"/>
                    </pic:cNvPicPr>
                  </pic:nvPicPr>
                  <pic:blipFill>
                    <a:blip r:embed="rId18"/>
                    <a:stretch>
                      <a:fillRect/>
                    </a:stretch>
                  </pic:blipFill>
                  <pic:spPr>
                    <a:xfrm>
                      <a:off x="0" y="0"/>
                      <a:ext cx="1800225" cy="1800225"/>
                    </a:xfrm>
                    <a:prstGeom prst="rect">
                      <a:avLst/>
                    </a:prstGeom>
                    <a:noFill/>
                    <a:ln w="9525">
                      <a:noFill/>
                    </a:ln>
                  </pic:spPr>
                </pic:pic>
              </a:graphicData>
            </a:graphic>
          </wp:inline>
        </w:drawing>
      </w:r>
    </w:p>
    <w:p w14:paraId="27B2FFA1" w14:textId="77777777" w:rsidR="00ED5EBF" w:rsidRDefault="00ED5EBF">
      <w:pPr>
        <w:spacing w:line="360" w:lineRule="auto"/>
        <w:ind w:firstLineChars="200" w:firstLine="480"/>
        <w:jc w:val="center"/>
      </w:pPr>
    </w:p>
    <w:p w14:paraId="190588CD" w14:textId="77777777" w:rsidR="00ED5EBF" w:rsidRDefault="002034C8">
      <w:pPr>
        <w:spacing w:line="360" w:lineRule="auto"/>
        <w:ind w:firstLineChars="200" w:firstLine="480"/>
        <w:jc w:val="center"/>
      </w:pPr>
      <w:r>
        <w:rPr>
          <w:noProof/>
        </w:rPr>
        <w:drawing>
          <wp:inline distT="0" distB="0" distL="114300" distR="114300" wp14:anchorId="35375C61" wp14:editId="27DFBA79">
            <wp:extent cx="1800225" cy="1800225"/>
            <wp:effectExtent l="0" t="0" r="9525" b="9525"/>
            <wp:docPr id="2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7"/>
                    <pic:cNvPicPr>
                      <a:picLocks noChangeAspect="1"/>
                    </pic:cNvPicPr>
                  </pic:nvPicPr>
                  <pic:blipFill>
                    <a:blip r:embed="rId19"/>
                    <a:stretch>
                      <a:fillRect/>
                    </a:stretch>
                  </pic:blipFill>
                  <pic:spPr>
                    <a:xfrm>
                      <a:off x="0" y="0"/>
                      <a:ext cx="1800225" cy="1800225"/>
                    </a:xfrm>
                    <a:prstGeom prst="rect">
                      <a:avLst/>
                    </a:prstGeom>
                    <a:noFill/>
                    <a:ln w="9525">
                      <a:noFill/>
                    </a:ln>
                  </pic:spPr>
                </pic:pic>
              </a:graphicData>
            </a:graphic>
          </wp:inline>
        </w:drawing>
      </w:r>
    </w:p>
    <w:p w14:paraId="045DD4A0" w14:textId="77777777" w:rsidR="00ED5EBF" w:rsidRDefault="002034C8">
      <w:pPr>
        <w:spacing w:line="360" w:lineRule="auto"/>
        <w:ind w:firstLineChars="200" w:firstLine="480"/>
        <w:jc w:val="center"/>
      </w:pPr>
      <w:r>
        <w:rPr>
          <w:noProof/>
        </w:rPr>
        <w:drawing>
          <wp:inline distT="0" distB="0" distL="114300" distR="114300" wp14:anchorId="4D018780" wp14:editId="4EB827A5">
            <wp:extent cx="1800225" cy="1800225"/>
            <wp:effectExtent l="0" t="0" r="9525" b="9525"/>
            <wp:docPr id="2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8"/>
                    <pic:cNvPicPr>
                      <a:picLocks noChangeAspect="1"/>
                    </pic:cNvPicPr>
                  </pic:nvPicPr>
                  <pic:blipFill>
                    <a:blip r:embed="rId20"/>
                    <a:stretch>
                      <a:fillRect/>
                    </a:stretch>
                  </pic:blipFill>
                  <pic:spPr>
                    <a:xfrm>
                      <a:off x="0" y="0"/>
                      <a:ext cx="1800225" cy="1800225"/>
                    </a:xfrm>
                    <a:prstGeom prst="rect">
                      <a:avLst/>
                    </a:prstGeom>
                    <a:noFill/>
                    <a:ln w="9525">
                      <a:noFill/>
                    </a:ln>
                  </pic:spPr>
                </pic:pic>
              </a:graphicData>
            </a:graphic>
          </wp:inline>
        </w:drawing>
      </w:r>
    </w:p>
    <w:p w14:paraId="1EB2C1CA" w14:textId="77777777" w:rsidR="00ED5EBF" w:rsidRDefault="002034C8">
      <w:pPr>
        <w:spacing w:line="360" w:lineRule="auto"/>
        <w:ind w:firstLineChars="200" w:firstLine="480"/>
        <w:jc w:val="center"/>
      </w:pPr>
      <w:r>
        <w:rPr>
          <w:noProof/>
        </w:rPr>
        <w:drawing>
          <wp:inline distT="0" distB="0" distL="114300" distR="114300" wp14:anchorId="09D5BF3C" wp14:editId="68160F8D">
            <wp:extent cx="1800225" cy="1800225"/>
            <wp:effectExtent l="0" t="0" r="9525" b="9525"/>
            <wp:docPr id="2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9"/>
                    <pic:cNvPicPr>
                      <a:picLocks noChangeAspect="1"/>
                    </pic:cNvPicPr>
                  </pic:nvPicPr>
                  <pic:blipFill>
                    <a:blip r:embed="rId21"/>
                    <a:stretch>
                      <a:fillRect/>
                    </a:stretch>
                  </pic:blipFill>
                  <pic:spPr>
                    <a:xfrm>
                      <a:off x="0" y="0"/>
                      <a:ext cx="1800225" cy="1800225"/>
                    </a:xfrm>
                    <a:prstGeom prst="rect">
                      <a:avLst/>
                    </a:prstGeom>
                    <a:noFill/>
                    <a:ln w="9525">
                      <a:noFill/>
                    </a:ln>
                  </pic:spPr>
                </pic:pic>
              </a:graphicData>
            </a:graphic>
          </wp:inline>
        </w:drawing>
      </w:r>
    </w:p>
    <w:p w14:paraId="4AC116AF" w14:textId="77777777" w:rsidR="00ED5EBF" w:rsidRDefault="002034C8">
      <w:pPr>
        <w:spacing w:line="360" w:lineRule="auto"/>
        <w:ind w:firstLineChars="200" w:firstLine="480"/>
        <w:jc w:val="center"/>
      </w:pPr>
      <w:r>
        <w:rPr>
          <w:noProof/>
        </w:rPr>
        <w:drawing>
          <wp:inline distT="0" distB="0" distL="114300" distR="114300" wp14:anchorId="315F7B40" wp14:editId="370816B9">
            <wp:extent cx="1800225" cy="1800225"/>
            <wp:effectExtent l="0" t="0" r="9525" b="9525"/>
            <wp:docPr id="29"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0"/>
                    <pic:cNvPicPr>
                      <a:picLocks noChangeAspect="1"/>
                    </pic:cNvPicPr>
                  </pic:nvPicPr>
                  <pic:blipFill>
                    <a:blip r:embed="rId22"/>
                    <a:stretch>
                      <a:fillRect/>
                    </a:stretch>
                  </pic:blipFill>
                  <pic:spPr>
                    <a:xfrm>
                      <a:off x="0" y="0"/>
                      <a:ext cx="1800225" cy="1800225"/>
                    </a:xfrm>
                    <a:prstGeom prst="rect">
                      <a:avLst/>
                    </a:prstGeom>
                    <a:noFill/>
                    <a:ln w="9525">
                      <a:noFill/>
                    </a:ln>
                  </pic:spPr>
                </pic:pic>
              </a:graphicData>
            </a:graphic>
          </wp:inline>
        </w:drawing>
      </w:r>
    </w:p>
    <w:p w14:paraId="6C90092B" w14:textId="77777777" w:rsidR="00ED5EBF" w:rsidRDefault="002034C8">
      <w:pPr>
        <w:spacing w:line="360" w:lineRule="auto"/>
        <w:ind w:firstLineChars="200" w:firstLine="480"/>
        <w:jc w:val="center"/>
      </w:pPr>
      <w:r>
        <w:rPr>
          <w:noProof/>
        </w:rPr>
        <w:drawing>
          <wp:inline distT="0" distB="0" distL="114300" distR="114300" wp14:anchorId="4C5C9431" wp14:editId="16AE059A">
            <wp:extent cx="1800225" cy="1800225"/>
            <wp:effectExtent l="0" t="0" r="9525" b="9525"/>
            <wp:docPr id="3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1"/>
                    <pic:cNvPicPr>
                      <a:picLocks noChangeAspect="1"/>
                    </pic:cNvPicPr>
                  </pic:nvPicPr>
                  <pic:blipFill>
                    <a:blip r:embed="rId23"/>
                    <a:stretch>
                      <a:fillRect/>
                    </a:stretch>
                  </pic:blipFill>
                  <pic:spPr>
                    <a:xfrm>
                      <a:off x="0" y="0"/>
                      <a:ext cx="1800225" cy="1800225"/>
                    </a:xfrm>
                    <a:prstGeom prst="rect">
                      <a:avLst/>
                    </a:prstGeom>
                    <a:noFill/>
                    <a:ln w="9525">
                      <a:noFill/>
                    </a:ln>
                  </pic:spPr>
                </pic:pic>
              </a:graphicData>
            </a:graphic>
          </wp:inline>
        </w:drawing>
      </w:r>
    </w:p>
    <w:p w14:paraId="6CBCAF67" w14:textId="77777777" w:rsidR="00ED5EBF" w:rsidRDefault="002034C8">
      <w:pPr>
        <w:spacing w:line="360" w:lineRule="auto"/>
        <w:ind w:firstLineChars="200" w:firstLine="480"/>
        <w:jc w:val="center"/>
      </w:pPr>
      <w:r>
        <w:rPr>
          <w:noProof/>
        </w:rPr>
        <w:drawing>
          <wp:inline distT="0" distB="0" distL="114300" distR="114300" wp14:anchorId="2D19AAB4" wp14:editId="4CB6995A">
            <wp:extent cx="1800225" cy="1800225"/>
            <wp:effectExtent l="0" t="0" r="9525" b="9525"/>
            <wp:docPr id="31"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2"/>
                    <pic:cNvPicPr>
                      <a:picLocks noChangeAspect="1"/>
                    </pic:cNvPicPr>
                  </pic:nvPicPr>
                  <pic:blipFill>
                    <a:blip r:embed="rId24"/>
                    <a:stretch>
                      <a:fillRect/>
                    </a:stretch>
                  </pic:blipFill>
                  <pic:spPr>
                    <a:xfrm>
                      <a:off x="0" y="0"/>
                      <a:ext cx="1800225" cy="1800225"/>
                    </a:xfrm>
                    <a:prstGeom prst="rect">
                      <a:avLst/>
                    </a:prstGeom>
                    <a:noFill/>
                    <a:ln w="9525">
                      <a:noFill/>
                    </a:ln>
                  </pic:spPr>
                </pic:pic>
              </a:graphicData>
            </a:graphic>
          </wp:inline>
        </w:drawing>
      </w:r>
    </w:p>
    <w:p w14:paraId="1DA1FB21" w14:textId="77777777" w:rsidR="00ED5EBF" w:rsidRDefault="002034C8">
      <w:pPr>
        <w:spacing w:line="360" w:lineRule="auto"/>
        <w:ind w:firstLineChars="200" w:firstLine="480"/>
        <w:jc w:val="center"/>
      </w:pPr>
      <w:r>
        <w:rPr>
          <w:noProof/>
        </w:rPr>
        <w:drawing>
          <wp:inline distT="0" distB="0" distL="114300" distR="114300" wp14:anchorId="1425E2FF" wp14:editId="0C820730">
            <wp:extent cx="1800225" cy="1800225"/>
            <wp:effectExtent l="0" t="0" r="9525" b="9525"/>
            <wp:docPr id="32"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3"/>
                    <pic:cNvPicPr>
                      <a:picLocks noChangeAspect="1"/>
                    </pic:cNvPicPr>
                  </pic:nvPicPr>
                  <pic:blipFill>
                    <a:blip r:embed="rId25"/>
                    <a:stretch>
                      <a:fillRect/>
                    </a:stretch>
                  </pic:blipFill>
                  <pic:spPr>
                    <a:xfrm>
                      <a:off x="0" y="0"/>
                      <a:ext cx="1800225" cy="1800225"/>
                    </a:xfrm>
                    <a:prstGeom prst="rect">
                      <a:avLst/>
                    </a:prstGeom>
                    <a:noFill/>
                    <a:ln w="9525">
                      <a:noFill/>
                    </a:ln>
                  </pic:spPr>
                </pic:pic>
              </a:graphicData>
            </a:graphic>
          </wp:inline>
        </w:drawing>
      </w:r>
    </w:p>
    <w:p w14:paraId="6A2BEC70" w14:textId="77777777" w:rsidR="00ED5EBF" w:rsidRDefault="002034C8">
      <w:pPr>
        <w:spacing w:line="360" w:lineRule="auto"/>
        <w:ind w:firstLineChars="200" w:firstLine="480"/>
        <w:jc w:val="center"/>
      </w:pPr>
      <w:r>
        <w:rPr>
          <w:noProof/>
        </w:rPr>
        <w:drawing>
          <wp:inline distT="0" distB="0" distL="114300" distR="114300" wp14:anchorId="735A78E7" wp14:editId="70DD2628">
            <wp:extent cx="1800225" cy="1800225"/>
            <wp:effectExtent l="0" t="0" r="9525" b="952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26"/>
                    <a:stretch>
                      <a:fillRect/>
                    </a:stretch>
                  </pic:blipFill>
                  <pic:spPr>
                    <a:xfrm>
                      <a:off x="0" y="0"/>
                      <a:ext cx="1800225" cy="1800225"/>
                    </a:xfrm>
                    <a:prstGeom prst="rect">
                      <a:avLst/>
                    </a:prstGeom>
                    <a:noFill/>
                    <a:ln w="9525">
                      <a:noFill/>
                    </a:ln>
                  </pic:spPr>
                </pic:pic>
              </a:graphicData>
            </a:graphic>
          </wp:inline>
        </w:drawing>
      </w:r>
    </w:p>
    <w:p w14:paraId="321A8185" w14:textId="77777777" w:rsidR="00ED5EBF" w:rsidRDefault="002034C8">
      <w:pPr>
        <w:spacing w:line="360" w:lineRule="auto"/>
        <w:ind w:firstLineChars="200" w:firstLine="480"/>
        <w:jc w:val="center"/>
      </w:pPr>
      <w:r>
        <w:rPr>
          <w:noProof/>
        </w:rPr>
        <w:drawing>
          <wp:inline distT="0" distB="0" distL="114300" distR="114300" wp14:anchorId="6F0DD0A1" wp14:editId="00099353">
            <wp:extent cx="1800225" cy="1800225"/>
            <wp:effectExtent l="0" t="0" r="9525" b="952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27"/>
                    <a:stretch>
                      <a:fillRect/>
                    </a:stretch>
                  </pic:blipFill>
                  <pic:spPr>
                    <a:xfrm>
                      <a:off x="0" y="0"/>
                      <a:ext cx="1800225" cy="1800225"/>
                    </a:xfrm>
                    <a:prstGeom prst="rect">
                      <a:avLst/>
                    </a:prstGeom>
                    <a:noFill/>
                    <a:ln w="9525">
                      <a:noFill/>
                    </a:ln>
                  </pic:spPr>
                </pic:pic>
              </a:graphicData>
            </a:graphic>
          </wp:inline>
        </w:drawing>
      </w:r>
    </w:p>
    <w:p w14:paraId="3DE79652" w14:textId="77777777" w:rsidR="00ED5EBF" w:rsidRDefault="002034C8">
      <w:pPr>
        <w:spacing w:line="360" w:lineRule="auto"/>
        <w:ind w:firstLineChars="200" w:firstLine="480"/>
        <w:jc w:val="center"/>
      </w:pPr>
      <w:r>
        <w:rPr>
          <w:rFonts w:hint="eastAsia"/>
          <w:noProof/>
        </w:rPr>
        <w:drawing>
          <wp:inline distT="0" distB="0" distL="114300" distR="114300" wp14:anchorId="0A657ABF" wp14:editId="7222AF93">
            <wp:extent cx="304800" cy="304800"/>
            <wp:effectExtent l="0" t="0" r="0" b="0"/>
            <wp:docPr id="33" name="图片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4" descr="IMG_256"/>
                    <pic:cNvPicPr>
                      <a:picLocks noChangeAspect="1"/>
                    </pic:cNvPicPr>
                  </pic:nvPicPr>
                  <pic:blipFill>
                    <a:blip r:embed="rId28"/>
                    <a:stretch>
                      <a:fillRect/>
                    </a:stretch>
                  </pic:blipFill>
                  <pic:spPr>
                    <a:xfrm>
                      <a:off x="0" y="0"/>
                      <a:ext cx="304800" cy="304800"/>
                    </a:xfrm>
                    <a:prstGeom prst="rect">
                      <a:avLst/>
                    </a:prstGeom>
                    <a:noFill/>
                    <a:ln w="9525">
                      <a:noFill/>
                    </a:ln>
                  </pic:spPr>
                </pic:pic>
              </a:graphicData>
            </a:graphic>
          </wp:inline>
        </w:drawing>
      </w:r>
      <w:r>
        <w:rPr>
          <w:noProof/>
        </w:rPr>
        <w:drawing>
          <wp:inline distT="0" distB="0" distL="114300" distR="114300" wp14:anchorId="37B69F1F" wp14:editId="74032E51">
            <wp:extent cx="1800225" cy="1800225"/>
            <wp:effectExtent l="0" t="0" r="9525" b="952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29"/>
                    <a:stretch>
                      <a:fillRect/>
                    </a:stretch>
                  </pic:blipFill>
                  <pic:spPr>
                    <a:xfrm>
                      <a:off x="0" y="0"/>
                      <a:ext cx="1800225" cy="1800225"/>
                    </a:xfrm>
                    <a:prstGeom prst="rect">
                      <a:avLst/>
                    </a:prstGeom>
                    <a:noFill/>
                    <a:ln w="9525">
                      <a:noFill/>
                    </a:ln>
                  </pic:spPr>
                </pic:pic>
              </a:graphicData>
            </a:graphic>
          </wp:inline>
        </w:drawing>
      </w:r>
    </w:p>
    <w:p w14:paraId="787E9ACE" w14:textId="77777777" w:rsidR="00ED5EBF" w:rsidRDefault="002034C8">
      <w:pPr>
        <w:spacing w:line="360" w:lineRule="auto"/>
        <w:ind w:firstLineChars="200" w:firstLine="480"/>
        <w:jc w:val="center"/>
      </w:pPr>
      <w:r>
        <w:rPr>
          <w:noProof/>
        </w:rPr>
        <w:drawing>
          <wp:inline distT="0" distB="0" distL="114300" distR="114300" wp14:anchorId="3914D343" wp14:editId="6EF9724D">
            <wp:extent cx="1800225" cy="1800225"/>
            <wp:effectExtent l="0" t="0" r="9525" b="952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30"/>
                    <a:stretch>
                      <a:fillRect/>
                    </a:stretch>
                  </pic:blipFill>
                  <pic:spPr>
                    <a:xfrm>
                      <a:off x="0" y="0"/>
                      <a:ext cx="1800225" cy="1800225"/>
                    </a:xfrm>
                    <a:prstGeom prst="rect">
                      <a:avLst/>
                    </a:prstGeom>
                    <a:noFill/>
                    <a:ln w="9525">
                      <a:noFill/>
                    </a:ln>
                  </pic:spPr>
                </pic:pic>
              </a:graphicData>
            </a:graphic>
          </wp:inline>
        </w:drawing>
      </w:r>
    </w:p>
    <w:p w14:paraId="2C05DAEE" w14:textId="77777777" w:rsidR="00ED5EBF" w:rsidRDefault="002034C8">
      <w:pPr>
        <w:spacing w:line="360" w:lineRule="auto"/>
        <w:ind w:firstLineChars="200" w:firstLine="480"/>
        <w:jc w:val="center"/>
      </w:pPr>
      <w:r>
        <w:rPr>
          <w:noProof/>
        </w:rPr>
        <w:drawing>
          <wp:inline distT="0" distB="0" distL="114300" distR="114300" wp14:anchorId="72A2E051" wp14:editId="6D847670">
            <wp:extent cx="1800225" cy="1800225"/>
            <wp:effectExtent l="0" t="0" r="9525" b="952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31"/>
                    <a:stretch>
                      <a:fillRect/>
                    </a:stretch>
                  </pic:blipFill>
                  <pic:spPr>
                    <a:xfrm>
                      <a:off x="0" y="0"/>
                      <a:ext cx="1800225" cy="1800225"/>
                    </a:xfrm>
                    <a:prstGeom prst="rect">
                      <a:avLst/>
                    </a:prstGeom>
                    <a:noFill/>
                    <a:ln w="9525">
                      <a:noFill/>
                    </a:ln>
                  </pic:spPr>
                </pic:pic>
              </a:graphicData>
            </a:graphic>
          </wp:inline>
        </w:drawing>
      </w:r>
    </w:p>
    <w:p w14:paraId="77ACAD4E" w14:textId="77777777" w:rsidR="00ED5EBF" w:rsidRDefault="002034C8">
      <w:pPr>
        <w:spacing w:line="360" w:lineRule="auto"/>
        <w:ind w:firstLineChars="200" w:firstLine="480"/>
        <w:jc w:val="center"/>
      </w:pPr>
      <w:r>
        <w:rPr>
          <w:noProof/>
        </w:rPr>
        <w:drawing>
          <wp:inline distT="0" distB="0" distL="114300" distR="114300" wp14:anchorId="0DC0A000" wp14:editId="31C6D679">
            <wp:extent cx="1800225" cy="1800225"/>
            <wp:effectExtent l="0" t="0" r="9525" b="952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32"/>
                    <a:stretch>
                      <a:fillRect/>
                    </a:stretch>
                  </pic:blipFill>
                  <pic:spPr>
                    <a:xfrm>
                      <a:off x="0" y="0"/>
                      <a:ext cx="1800225" cy="1800225"/>
                    </a:xfrm>
                    <a:prstGeom prst="rect">
                      <a:avLst/>
                    </a:prstGeom>
                    <a:noFill/>
                    <a:ln w="9525">
                      <a:noFill/>
                    </a:ln>
                  </pic:spPr>
                </pic:pic>
              </a:graphicData>
            </a:graphic>
          </wp:inline>
        </w:drawing>
      </w:r>
    </w:p>
    <w:p w14:paraId="3681892A" w14:textId="77777777" w:rsidR="00ED5EBF" w:rsidRDefault="002034C8">
      <w:pPr>
        <w:spacing w:line="360" w:lineRule="auto"/>
        <w:ind w:firstLineChars="200" w:firstLine="480"/>
        <w:jc w:val="center"/>
      </w:pPr>
      <w:r>
        <w:rPr>
          <w:noProof/>
        </w:rPr>
        <w:drawing>
          <wp:inline distT="0" distB="0" distL="114300" distR="114300" wp14:anchorId="341EBBD2" wp14:editId="1A18354B">
            <wp:extent cx="1800225" cy="1800225"/>
            <wp:effectExtent l="0" t="0" r="9525" b="952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33"/>
                    <a:stretch>
                      <a:fillRect/>
                    </a:stretch>
                  </pic:blipFill>
                  <pic:spPr>
                    <a:xfrm>
                      <a:off x="0" y="0"/>
                      <a:ext cx="1800225" cy="1800225"/>
                    </a:xfrm>
                    <a:prstGeom prst="rect">
                      <a:avLst/>
                    </a:prstGeom>
                    <a:noFill/>
                    <a:ln w="9525">
                      <a:noFill/>
                    </a:ln>
                  </pic:spPr>
                </pic:pic>
              </a:graphicData>
            </a:graphic>
          </wp:inline>
        </w:drawing>
      </w:r>
    </w:p>
    <w:p w14:paraId="2277E59A" w14:textId="77777777" w:rsidR="00ED5EBF" w:rsidRDefault="00ED5EBF">
      <w:pPr>
        <w:spacing w:line="360" w:lineRule="auto"/>
        <w:ind w:firstLineChars="200" w:firstLine="480"/>
        <w:jc w:val="center"/>
      </w:pPr>
    </w:p>
    <w:p w14:paraId="6CB01A83" w14:textId="77777777" w:rsidR="00ED5EBF" w:rsidRDefault="00ED5EBF">
      <w:pPr>
        <w:spacing w:line="360" w:lineRule="auto"/>
        <w:ind w:firstLineChars="200" w:firstLine="480"/>
        <w:jc w:val="center"/>
      </w:pPr>
    </w:p>
    <w:p w14:paraId="3AF5FE10" w14:textId="77777777" w:rsidR="00ED5EBF" w:rsidRDefault="00ED5EBF">
      <w:pPr>
        <w:spacing w:line="360" w:lineRule="auto"/>
        <w:ind w:firstLineChars="200" w:firstLine="480"/>
        <w:jc w:val="center"/>
      </w:pPr>
    </w:p>
    <w:p w14:paraId="0A208A00" w14:textId="77777777" w:rsidR="00ED5EBF" w:rsidRDefault="00ED5EBF">
      <w:pPr>
        <w:spacing w:line="360" w:lineRule="auto"/>
        <w:ind w:firstLineChars="200" w:firstLine="480"/>
        <w:jc w:val="center"/>
      </w:pPr>
    </w:p>
    <w:p w14:paraId="1D5AE1D7" w14:textId="77777777" w:rsidR="00ED5EBF" w:rsidRDefault="00ED5EBF">
      <w:pPr>
        <w:spacing w:line="360" w:lineRule="auto"/>
        <w:ind w:firstLineChars="200" w:firstLine="480"/>
        <w:jc w:val="center"/>
      </w:pPr>
    </w:p>
    <w:p w14:paraId="4296C5A7" w14:textId="77777777" w:rsidR="00ED5EBF" w:rsidRDefault="00ED5EBF">
      <w:pPr>
        <w:spacing w:line="360" w:lineRule="auto"/>
        <w:ind w:firstLineChars="200" w:firstLine="480"/>
        <w:jc w:val="center"/>
      </w:pPr>
    </w:p>
    <w:p w14:paraId="2D297BA0" w14:textId="77777777" w:rsidR="00ED5EBF" w:rsidRDefault="00ED5EBF">
      <w:pPr>
        <w:spacing w:line="360" w:lineRule="auto"/>
        <w:ind w:firstLineChars="200" w:firstLine="480"/>
        <w:jc w:val="center"/>
      </w:pPr>
    </w:p>
    <w:p w14:paraId="2B786871" w14:textId="77777777" w:rsidR="00ED5EBF" w:rsidRDefault="00ED5EBF">
      <w:pPr>
        <w:spacing w:line="360" w:lineRule="auto"/>
        <w:ind w:firstLineChars="200" w:firstLine="480"/>
        <w:jc w:val="center"/>
      </w:pPr>
    </w:p>
    <w:p w14:paraId="454B7D2F" w14:textId="77777777" w:rsidR="00ED5EBF" w:rsidRDefault="00ED5EBF">
      <w:pPr>
        <w:spacing w:line="360" w:lineRule="auto"/>
        <w:ind w:firstLineChars="200" w:firstLine="480"/>
        <w:jc w:val="center"/>
      </w:pPr>
    </w:p>
    <w:p w14:paraId="7C0E4E82" w14:textId="77777777" w:rsidR="00ED5EBF" w:rsidRDefault="00ED5EBF">
      <w:pPr>
        <w:spacing w:line="360" w:lineRule="auto"/>
        <w:ind w:firstLineChars="200" w:firstLine="480"/>
        <w:jc w:val="center"/>
      </w:pPr>
    </w:p>
    <w:p w14:paraId="4BE6DAA5" w14:textId="77777777" w:rsidR="00ED5EBF" w:rsidRDefault="00ED5EBF">
      <w:pPr>
        <w:spacing w:line="360" w:lineRule="auto"/>
        <w:ind w:firstLineChars="200" w:firstLine="480"/>
        <w:jc w:val="center"/>
      </w:pPr>
    </w:p>
    <w:p w14:paraId="725ECADF" w14:textId="77777777" w:rsidR="00ED5EBF" w:rsidRDefault="00ED5EBF">
      <w:pPr>
        <w:spacing w:line="360" w:lineRule="auto"/>
        <w:ind w:firstLineChars="200" w:firstLine="480"/>
        <w:jc w:val="center"/>
      </w:pPr>
    </w:p>
    <w:p w14:paraId="3999D289" w14:textId="77777777" w:rsidR="00ED5EBF" w:rsidRDefault="00ED5EBF">
      <w:pPr>
        <w:spacing w:line="360" w:lineRule="auto"/>
        <w:ind w:firstLineChars="200" w:firstLine="480"/>
        <w:jc w:val="center"/>
      </w:pPr>
    </w:p>
    <w:p w14:paraId="5D2E9F9E" w14:textId="77777777" w:rsidR="00ED5EBF" w:rsidRDefault="00ED5EBF">
      <w:pPr>
        <w:spacing w:line="360" w:lineRule="auto"/>
        <w:ind w:firstLineChars="200" w:firstLine="480"/>
        <w:jc w:val="center"/>
      </w:pPr>
    </w:p>
    <w:p w14:paraId="60AE6609" w14:textId="77777777" w:rsidR="00ED5EBF" w:rsidRDefault="00ED5EBF">
      <w:pPr>
        <w:spacing w:line="360" w:lineRule="auto"/>
        <w:ind w:firstLineChars="200" w:firstLine="480"/>
        <w:jc w:val="center"/>
      </w:pPr>
    </w:p>
    <w:p w14:paraId="1D8D47DB" w14:textId="77777777" w:rsidR="00ED5EBF" w:rsidRDefault="00ED5EBF">
      <w:pPr>
        <w:spacing w:line="360" w:lineRule="auto"/>
        <w:ind w:firstLineChars="200" w:firstLine="480"/>
        <w:jc w:val="center"/>
      </w:pPr>
    </w:p>
    <w:p w14:paraId="500A5534" w14:textId="77777777" w:rsidR="00ED5EBF" w:rsidRDefault="002034C8">
      <w:pPr>
        <w:spacing w:line="360" w:lineRule="auto"/>
        <w:ind w:firstLineChars="200" w:firstLine="480"/>
        <w:jc w:val="center"/>
        <w:rPr>
          <w:rFonts w:ascii="华文中宋" w:eastAsia="华文中宋" w:hAnsi="华文中宋" w:cs="华文中宋"/>
          <w:b/>
          <w:bCs/>
        </w:rPr>
      </w:pPr>
      <w:bookmarkStart w:id="19" w:name="央行行长周小川出席记者会，比特币等虚拟货币会被提及吗？"/>
      <w:r>
        <w:rPr>
          <w:rFonts w:ascii="华文中宋" w:eastAsia="华文中宋" w:hAnsi="华文中宋" w:cs="华文中宋" w:hint="eastAsia"/>
          <w:b/>
          <w:bCs/>
        </w:rPr>
        <w:t>央行行长周小川出席记者会，比特币等虚拟货币会被提及吗？</w:t>
      </w:r>
    </w:p>
    <w:bookmarkEnd w:id="19"/>
    <w:p w14:paraId="37739205" w14:textId="77777777" w:rsidR="00ED5EBF" w:rsidRDefault="002034C8">
      <w:pPr>
        <w:spacing w:line="360" w:lineRule="auto"/>
        <w:ind w:firstLineChars="200" w:firstLine="420"/>
        <w:jc w:val="center"/>
        <w:rPr>
          <w:rFonts w:ascii="华文楷体" w:eastAsia="华文楷体" w:hAnsi="华文楷体" w:cs="华文楷体"/>
          <w:sz w:val="21"/>
          <w:szCs w:val="21"/>
        </w:rPr>
      </w:pPr>
      <w:r>
        <w:rPr>
          <w:rFonts w:ascii="华文楷体" w:eastAsia="华文楷体" w:hAnsi="华文楷体" w:cs="华文楷体" w:hint="eastAsia"/>
          <w:sz w:val="21"/>
          <w:szCs w:val="21"/>
        </w:rPr>
        <w:t>日期：</w:t>
      </w:r>
      <w:r>
        <w:rPr>
          <w:rFonts w:ascii="华文楷体" w:eastAsia="华文楷体" w:hAnsi="华文楷体" w:cs="华文楷体" w:hint="eastAsia"/>
          <w:sz w:val="21"/>
          <w:szCs w:val="21"/>
        </w:rPr>
        <w:t>2018</w:t>
      </w:r>
      <w:r>
        <w:rPr>
          <w:rFonts w:ascii="华文楷体" w:eastAsia="华文楷体" w:hAnsi="华文楷体" w:cs="华文楷体" w:hint="eastAsia"/>
          <w:sz w:val="21"/>
          <w:szCs w:val="21"/>
        </w:rPr>
        <w:t>年</w:t>
      </w:r>
      <w:r>
        <w:rPr>
          <w:rFonts w:ascii="华文楷体" w:eastAsia="华文楷体" w:hAnsi="华文楷体" w:cs="华文楷体" w:hint="eastAsia"/>
          <w:sz w:val="21"/>
          <w:szCs w:val="21"/>
        </w:rPr>
        <w:t>3</w:t>
      </w:r>
      <w:r>
        <w:rPr>
          <w:rFonts w:ascii="华文楷体" w:eastAsia="华文楷体" w:hAnsi="华文楷体" w:cs="华文楷体" w:hint="eastAsia"/>
          <w:sz w:val="21"/>
          <w:szCs w:val="21"/>
        </w:rPr>
        <w:t>月</w:t>
      </w:r>
      <w:r>
        <w:rPr>
          <w:rFonts w:ascii="华文楷体" w:eastAsia="华文楷体" w:hAnsi="华文楷体" w:cs="华文楷体" w:hint="eastAsia"/>
          <w:sz w:val="21"/>
          <w:szCs w:val="21"/>
        </w:rPr>
        <w:t>14</w:t>
      </w:r>
      <w:r>
        <w:rPr>
          <w:rFonts w:ascii="华文楷体" w:eastAsia="华文楷体" w:hAnsi="华文楷体" w:cs="华文楷体" w:hint="eastAsia"/>
          <w:sz w:val="21"/>
          <w:szCs w:val="21"/>
        </w:rPr>
        <w:t>日</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来源：迈阿币详解</w:t>
      </w:r>
    </w:p>
    <w:p w14:paraId="67B59365" w14:textId="77777777" w:rsidR="00ED5EBF" w:rsidRDefault="00ED5EBF">
      <w:pPr>
        <w:spacing w:line="360" w:lineRule="auto"/>
        <w:ind w:firstLineChars="200" w:firstLine="420"/>
        <w:jc w:val="center"/>
        <w:rPr>
          <w:rFonts w:ascii="华文楷体" w:eastAsia="华文楷体" w:hAnsi="华文楷体" w:cs="华文楷体"/>
          <w:sz w:val="21"/>
          <w:szCs w:val="21"/>
        </w:rPr>
      </w:pPr>
    </w:p>
    <w:p w14:paraId="3BE471C4"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前段时间召开的斯沃达经济会议，区块链和虚拟货币都被多次提及，但是会议过后我们仍旧不清楚专家和商家们对此的意见或态度。但是奇怪的是，会议召开过后比特币下跌的迹象有了明显的好转。</w:t>
      </w:r>
    </w:p>
    <w:p w14:paraId="45ED5182" w14:textId="77777777" w:rsidR="00ED5EBF" w:rsidRDefault="00ED5EBF">
      <w:pPr>
        <w:spacing w:line="360" w:lineRule="auto"/>
        <w:ind w:firstLineChars="200" w:firstLine="480"/>
        <w:rPr>
          <w:rFonts w:ascii="华文楷体" w:eastAsia="华文楷体" w:hAnsi="华文楷体" w:cs="华文楷体"/>
        </w:rPr>
      </w:pPr>
    </w:p>
    <w:p w14:paraId="3C5CB1E2"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据中国人大网</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7</w:t>
      </w:r>
      <w:r>
        <w:rPr>
          <w:rFonts w:ascii="华文楷体" w:eastAsia="华文楷体" w:hAnsi="华文楷体" w:cs="华文楷体" w:hint="eastAsia"/>
        </w:rPr>
        <w:t>号的消息显示，十三届全国人大一次会议新闻中心将于</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9</w:t>
      </w:r>
      <w:r>
        <w:rPr>
          <w:rFonts w:ascii="华文楷体" w:eastAsia="华文楷体" w:hAnsi="华文楷体" w:cs="华文楷体" w:hint="eastAsia"/>
        </w:rPr>
        <w:t>号上午</w:t>
      </w:r>
      <w:r>
        <w:rPr>
          <w:rFonts w:ascii="华文楷体" w:eastAsia="华文楷体" w:hAnsi="华文楷体" w:cs="华文楷体" w:hint="eastAsia"/>
        </w:rPr>
        <w:t>10</w:t>
      </w:r>
      <w:r>
        <w:rPr>
          <w:rFonts w:ascii="华文楷体" w:eastAsia="华文楷体" w:hAnsi="华文楷体" w:cs="华文楷体" w:hint="eastAsia"/>
        </w:rPr>
        <w:t>点在梅地亚中心多功能厅举行记者会，出席人员将有我国人民银行行长周小川，副行长易纲等，他们将回答“金融改革与发展”相关的所有问题。</w:t>
      </w:r>
    </w:p>
    <w:p w14:paraId="4B20F3C8" w14:textId="77777777" w:rsidR="00ED5EBF" w:rsidRDefault="00ED5EBF">
      <w:pPr>
        <w:spacing w:line="360" w:lineRule="auto"/>
        <w:ind w:firstLineChars="200" w:firstLine="480"/>
        <w:rPr>
          <w:rFonts w:ascii="华文楷体" w:eastAsia="华文楷体" w:hAnsi="华文楷体" w:cs="华文楷体"/>
        </w:rPr>
      </w:pPr>
    </w:p>
    <w:p w14:paraId="4A3520D7"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众所周知，虚拟货币和区块链都是近两年来最火热的金融问题，他们的发展前景和状况对金融行业的改革与发展都有密切的关系。比特币在</w:t>
      </w:r>
      <w:r>
        <w:rPr>
          <w:rFonts w:ascii="华文楷体" w:eastAsia="华文楷体" w:hAnsi="华文楷体" w:cs="华文楷体" w:hint="eastAsia"/>
        </w:rPr>
        <w:t>17</w:t>
      </w:r>
      <w:r>
        <w:rPr>
          <w:rFonts w:ascii="华文楷体" w:eastAsia="华文楷体" w:hAnsi="华文楷体" w:cs="华文楷体" w:hint="eastAsia"/>
        </w:rPr>
        <w:t>年创下了</w:t>
      </w:r>
      <w:r>
        <w:rPr>
          <w:rFonts w:ascii="华文楷体" w:eastAsia="华文楷体" w:hAnsi="华文楷体" w:cs="华文楷体" w:hint="eastAsia"/>
        </w:rPr>
        <w:t>2000+</w:t>
      </w:r>
      <w:r>
        <w:rPr>
          <w:rFonts w:ascii="华文楷体" w:eastAsia="华文楷体" w:hAnsi="华文楷体" w:cs="华文楷体" w:hint="eastAsia"/>
        </w:rPr>
        <w:t>亿美元的市值，而整个虚拟货币行业的总值也在</w:t>
      </w:r>
      <w:r>
        <w:rPr>
          <w:rFonts w:ascii="华文楷体" w:eastAsia="华文楷体" w:hAnsi="华文楷体" w:cs="华文楷体" w:hint="eastAsia"/>
        </w:rPr>
        <w:t>4000+</w:t>
      </w:r>
      <w:r>
        <w:rPr>
          <w:rFonts w:ascii="华文楷体" w:eastAsia="华文楷体" w:hAnsi="华文楷体" w:cs="华文楷体" w:hint="eastAsia"/>
        </w:rPr>
        <w:t>亿美元以上，虚拟货币的影响不容小觑。而中国官方的态度对其在大陆的发展有着非同一般的作用，国家政策的颁布</w:t>
      </w:r>
      <w:r>
        <w:rPr>
          <w:rFonts w:ascii="华文楷体" w:eastAsia="华文楷体" w:hAnsi="华文楷体" w:cs="华文楷体" w:hint="eastAsia"/>
        </w:rPr>
        <w:t>对虚拟货币的发行、售卖都具有很大的参考价值。就拿韩国来说，春节之前韩国对比特币的态度十分强势，以至于近两月来比特币市值缩水近一半。</w:t>
      </w:r>
      <w:r>
        <w:rPr>
          <w:rFonts w:ascii="华文楷体" w:eastAsia="华文楷体" w:hAnsi="华文楷体" w:cs="华文楷体" w:hint="eastAsia"/>
        </w:rPr>
        <w:t>2</w:t>
      </w:r>
      <w:r>
        <w:rPr>
          <w:rFonts w:ascii="华文楷体" w:eastAsia="华文楷体" w:hAnsi="华文楷体" w:cs="华文楷体" w:hint="eastAsia"/>
        </w:rPr>
        <w:t>月下旬韩国终于松口，其官方代表声称：“将合理管理比特币等虚拟货币，希望看到虚拟货币资产的规范交易。”</w:t>
      </w:r>
    </w:p>
    <w:p w14:paraId="7339A222" w14:textId="77777777" w:rsidR="00ED5EBF" w:rsidRDefault="002034C8">
      <w:pPr>
        <w:spacing w:line="360" w:lineRule="auto"/>
        <w:ind w:firstLineChars="200" w:firstLine="480"/>
        <w:jc w:val="center"/>
        <w:rPr>
          <w:rFonts w:ascii="宋体" w:eastAsia="宋体" w:hAnsi="宋体" w:cs="宋体"/>
        </w:rPr>
      </w:pPr>
      <w:r>
        <w:rPr>
          <w:rFonts w:ascii="宋体" w:eastAsia="宋体" w:hAnsi="宋体" w:cs="宋体"/>
          <w:noProof/>
        </w:rPr>
        <w:drawing>
          <wp:inline distT="0" distB="0" distL="114300" distR="114300" wp14:anchorId="2DC13518" wp14:editId="681EB20F">
            <wp:extent cx="1910715" cy="2823210"/>
            <wp:effectExtent l="0" t="0" r="13335" b="15240"/>
            <wp:docPr id="42" name="图片 4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IMG_256"/>
                    <pic:cNvPicPr>
                      <a:picLocks noChangeAspect="1"/>
                    </pic:cNvPicPr>
                  </pic:nvPicPr>
                  <pic:blipFill>
                    <a:blip r:embed="rId34"/>
                    <a:stretch>
                      <a:fillRect/>
                    </a:stretch>
                  </pic:blipFill>
                  <pic:spPr>
                    <a:xfrm>
                      <a:off x="0" y="0"/>
                      <a:ext cx="1910715" cy="2823210"/>
                    </a:xfrm>
                    <a:prstGeom prst="rect">
                      <a:avLst/>
                    </a:prstGeom>
                    <a:noFill/>
                    <a:ln w="9525">
                      <a:noFill/>
                    </a:ln>
                  </pic:spPr>
                </pic:pic>
              </a:graphicData>
            </a:graphic>
          </wp:inline>
        </w:drawing>
      </w:r>
    </w:p>
    <w:p w14:paraId="050DDDE1" w14:textId="77777777" w:rsidR="00ED5EBF" w:rsidRDefault="00ED5EBF">
      <w:pPr>
        <w:spacing w:line="360" w:lineRule="auto"/>
        <w:ind w:firstLineChars="200" w:firstLine="480"/>
        <w:rPr>
          <w:rFonts w:ascii="华文楷体" w:eastAsia="华文楷体" w:hAnsi="华文楷体" w:cs="华文楷体"/>
        </w:rPr>
      </w:pPr>
    </w:p>
    <w:p w14:paraId="0005A708"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韩国的态度变化势必会影响比特币在韩的售卖情况，随着交易市场的额度回升，比特币的资产一定还会有所上升。同理，如果央行行长认可了虚拟货币的存在，那么对于迈阿币</w:t>
      </w:r>
      <w:r>
        <w:rPr>
          <w:rFonts w:ascii="华文楷体" w:eastAsia="华文楷体" w:hAnsi="华文楷体" w:cs="华文楷体" w:hint="eastAsia"/>
        </w:rPr>
        <w:t>Mmcoin</w:t>
      </w:r>
      <w:r>
        <w:rPr>
          <w:rFonts w:ascii="华文楷体" w:eastAsia="华文楷体" w:hAnsi="华文楷体" w:cs="华文楷体" w:hint="eastAsia"/>
        </w:rPr>
        <w:t>一类的新型虚拟货币而言，自然就会提供更多的交易机会。</w:t>
      </w:r>
    </w:p>
    <w:p w14:paraId="73E58A69" w14:textId="77777777" w:rsidR="00ED5EBF" w:rsidRDefault="00ED5EBF">
      <w:pPr>
        <w:spacing w:line="360" w:lineRule="auto"/>
        <w:ind w:firstLineChars="200" w:firstLine="480"/>
        <w:rPr>
          <w:rFonts w:ascii="华文楷体" w:eastAsia="华文楷体" w:hAnsi="华文楷体" w:cs="华文楷体"/>
        </w:rPr>
      </w:pPr>
    </w:p>
    <w:p w14:paraId="47FBDA4D"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迈阿币</w:t>
      </w:r>
      <w:r>
        <w:rPr>
          <w:rFonts w:ascii="华文楷体" w:eastAsia="华文楷体" w:hAnsi="华文楷体" w:cs="华文楷体" w:hint="eastAsia"/>
        </w:rPr>
        <w:t>Mmcoin</w:t>
      </w:r>
      <w:r>
        <w:rPr>
          <w:rFonts w:ascii="华文楷体" w:eastAsia="华文楷体" w:hAnsi="华文楷体" w:cs="华文楷体" w:hint="eastAsia"/>
        </w:rPr>
        <w:t>上线于美国迈阿密市，它的区块链技</w:t>
      </w:r>
      <w:r>
        <w:rPr>
          <w:rFonts w:ascii="华文楷体" w:eastAsia="华文楷体" w:hAnsi="华文楷体" w:cs="华文楷体" w:hint="eastAsia"/>
        </w:rPr>
        <w:t>术是基于比特币而研发的。迈阿币</w:t>
      </w:r>
      <w:r>
        <w:rPr>
          <w:rFonts w:ascii="华文楷体" w:eastAsia="华文楷体" w:hAnsi="华文楷体" w:cs="华文楷体" w:hint="eastAsia"/>
        </w:rPr>
        <w:t>Mmcoin</w:t>
      </w:r>
      <w:r>
        <w:rPr>
          <w:rFonts w:ascii="华文楷体" w:eastAsia="华文楷体" w:hAnsi="华文楷体" w:cs="华文楷体" w:hint="eastAsia"/>
        </w:rPr>
        <w:t>的影响力虽然不敢与之相比，但是就区块链技术而言，迈阿币</w:t>
      </w:r>
      <w:r>
        <w:rPr>
          <w:rFonts w:ascii="华文楷体" w:eastAsia="华文楷体" w:hAnsi="华文楷体" w:cs="华文楷体" w:hint="eastAsia"/>
        </w:rPr>
        <w:t>Mmcoin</w:t>
      </w:r>
      <w:r>
        <w:rPr>
          <w:rFonts w:ascii="华文楷体" w:eastAsia="华文楷体" w:hAnsi="华文楷体" w:cs="华文楷体" w:hint="eastAsia"/>
        </w:rPr>
        <w:t>可谓是有着过人之处。它的传送速度和安全性都有一定的保证，至少不会轻易被黑客入侵。</w:t>
      </w:r>
    </w:p>
    <w:p w14:paraId="23F2A2DA" w14:textId="77777777" w:rsidR="00ED5EBF" w:rsidRDefault="00ED5EBF">
      <w:pPr>
        <w:spacing w:line="360" w:lineRule="auto"/>
        <w:ind w:firstLineChars="200" w:firstLine="480"/>
        <w:rPr>
          <w:rFonts w:ascii="华文楷体" w:eastAsia="华文楷体" w:hAnsi="华文楷体" w:cs="华文楷体"/>
        </w:rPr>
      </w:pPr>
    </w:p>
    <w:p w14:paraId="2E5E47BC"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迈阿币</w:t>
      </w:r>
      <w:r>
        <w:rPr>
          <w:rFonts w:ascii="华文楷体" w:eastAsia="华文楷体" w:hAnsi="华文楷体" w:cs="华文楷体" w:hint="eastAsia"/>
        </w:rPr>
        <w:t>Mmcoin</w:t>
      </w:r>
      <w:r>
        <w:rPr>
          <w:rFonts w:ascii="华文楷体" w:eastAsia="华文楷体" w:hAnsi="华文楷体" w:cs="华文楷体" w:hint="eastAsia"/>
        </w:rPr>
        <w:t>的本质是虚拟货币，但它也是国际流通货币，传统货币和比特币、以太坊能做的它都具有同等价值。所以，虚拟货币一旦被中国官员提上议程，他们与成功的距离将会缩的更短。</w:t>
      </w:r>
    </w:p>
    <w:p w14:paraId="71F2B629" w14:textId="77777777" w:rsidR="00ED5EBF" w:rsidRDefault="00ED5EBF">
      <w:pPr>
        <w:spacing w:line="360" w:lineRule="auto"/>
        <w:ind w:firstLineChars="200" w:firstLine="480"/>
        <w:rPr>
          <w:rFonts w:ascii="华文楷体" w:eastAsia="华文楷体" w:hAnsi="华文楷体" w:cs="华文楷体"/>
        </w:rPr>
      </w:pPr>
    </w:p>
    <w:p w14:paraId="07432BF3" w14:textId="77777777" w:rsidR="00ED5EBF" w:rsidRDefault="002034C8">
      <w:pPr>
        <w:spacing w:line="360" w:lineRule="auto"/>
        <w:ind w:right="357"/>
        <w:jc w:val="center"/>
        <w:rPr>
          <w:rFonts w:ascii="华文中宋" w:eastAsia="华文中宋" w:hAnsi="华文中宋" w:cs="华文中宋"/>
          <w:b/>
        </w:rPr>
      </w:pPr>
      <w:bookmarkStart w:id="20" w:name="周小川就“金融改革与发展”相关问题回答中外记者提问"/>
      <w:r>
        <w:rPr>
          <w:rFonts w:ascii="华文中宋" w:eastAsia="华文中宋" w:hAnsi="华文中宋" w:cs="华文中宋" w:hint="eastAsia"/>
          <w:b/>
        </w:rPr>
        <w:t>周小川就“金融改革与发展”相关问题回答中外记者提问</w:t>
      </w:r>
      <w:bookmarkEnd w:id="20"/>
    </w:p>
    <w:p w14:paraId="36F9AFDE" w14:textId="77777777" w:rsidR="00ED5EBF" w:rsidRDefault="002034C8">
      <w:pPr>
        <w:spacing w:line="360" w:lineRule="auto"/>
        <w:ind w:right="357"/>
        <w:jc w:val="center"/>
        <w:rPr>
          <w:rFonts w:ascii="华文楷体" w:eastAsia="华文楷体" w:hAnsi="华文楷体"/>
          <w:szCs w:val="21"/>
        </w:rPr>
      </w:pPr>
      <w:r>
        <w:rPr>
          <w:rFonts w:ascii="华文楷体" w:eastAsia="华文楷体" w:hAnsi="华文楷体" w:hint="eastAsia"/>
          <w:szCs w:val="21"/>
        </w:rPr>
        <w:t>时间：</w:t>
      </w:r>
      <w:r>
        <w:rPr>
          <w:rFonts w:ascii="华文楷体" w:eastAsia="华文楷体" w:hAnsi="华文楷体" w:hint="eastAsia"/>
          <w:szCs w:val="21"/>
        </w:rPr>
        <w:t xml:space="preserve">2018-03-12  </w:t>
      </w:r>
      <w:r>
        <w:rPr>
          <w:rFonts w:ascii="华文楷体" w:eastAsia="华文楷体" w:hAnsi="华文楷体" w:hint="eastAsia"/>
          <w:szCs w:val="21"/>
        </w:rPr>
        <w:t>来源：澎湃新闻</w:t>
      </w:r>
    </w:p>
    <w:p w14:paraId="23DCA008" w14:textId="77777777" w:rsidR="00ED5EBF" w:rsidRDefault="00ED5EBF">
      <w:pPr>
        <w:spacing w:line="360" w:lineRule="auto"/>
        <w:ind w:right="357"/>
        <w:jc w:val="left"/>
        <w:rPr>
          <w:rFonts w:ascii="华文楷体" w:eastAsia="华文楷体" w:hAnsi="华文楷体"/>
        </w:rPr>
      </w:pPr>
    </w:p>
    <w:p w14:paraId="61F41837"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3</w:t>
      </w:r>
      <w:r>
        <w:rPr>
          <w:rFonts w:ascii="华文楷体" w:eastAsia="华文楷体" w:hAnsi="华文楷体" w:hint="eastAsia"/>
        </w:rPr>
        <w:t>月</w:t>
      </w:r>
      <w:r>
        <w:rPr>
          <w:rFonts w:ascii="华文楷体" w:eastAsia="华文楷体" w:hAnsi="华文楷体" w:hint="eastAsia"/>
        </w:rPr>
        <w:t>9</w:t>
      </w:r>
      <w:r>
        <w:rPr>
          <w:rFonts w:ascii="华文楷体" w:eastAsia="华文楷体" w:hAnsi="华文楷体" w:hint="eastAsia"/>
        </w:rPr>
        <w:t>日上午，中国人民银行（央行）行长周小川与副行长易纲、副行长兼国家外汇管理局局长潘功胜围绕“金融改革与发展”答中外记者问。</w:t>
      </w:r>
    </w:p>
    <w:p w14:paraId="6C51D07E" w14:textId="77777777" w:rsidR="00ED5EBF" w:rsidRDefault="00ED5EBF">
      <w:pPr>
        <w:spacing w:line="360" w:lineRule="auto"/>
        <w:ind w:right="357" w:firstLineChars="200" w:firstLine="480"/>
        <w:jc w:val="left"/>
        <w:rPr>
          <w:rFonts w:ascii="华文楷体" w:eastAsia="华文楷体" w:hAnsi="华文楷体"/>
        </w:rPr>
      </w:pPr>
    </w:p>
    <w:p w14:paraId="19B85BCD"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在近一个小时四十分钟的记者会上，央行三位高层总共回答了中外记者</w:t>
      </w:r>
      <w:r>
        <w:rPr>
          <w:rFonts w:ascii="华文楷体" w:eastAsia="华文楷体" w:hAnsi="华文楷体" w:hint="eastAsia"/>
        </w:rPr>
        <w:t>18</w:t>
      </w:r>
      <w:r>
        <w:rPr>
          <w:rFonts w:ascii="华文楷体" w:eastAsia="华文楷体" w:hAnsi="华文楷体" w:hint="eastAsia"/>
        </w:rPr>
        <w:t>个问题，比去年多了足足</w:t>
      </w:r>
      <w:r>
        <w:rPr>
          <w:rFonts w:ascii="华文楷体" w:eastAsia="华文楷体" w:hAnsi="华文楷体" w:hint="eastAsia"/>
        </w:rPr>
        <w:t>6</w:t>
      </w:r>
      <w:r>
        <w:rPr>
          <w:rFonts w:ascii="华文楷体" w:eastAsia="华文楷体" w:hAnsi="华文楷体" w:hint="eastAsia"/>
        </w:rPr>
        <w:t>个，涉及对比特币等虚拟商品的监管、数字货币研发进展、货币政策走向、金融控股公司监管、房地产金融等各个方面。</w:t>
      </w:r>
    </w:p>
    <w:p w14:paraId="50A67BD9" w14:textId="77777777" w:rsidR="00ED5EBF" w:rsidRDefault="00ED5EBF">
      <w:pPr>
        <w:spacing w:line="360" w:lineRule="auto"/>
        <w:ind w:right="357" w:firstLineChars="200" w:firstLine="480"/>
        <w:jc w:val="left"/>
        <w:rPr>
          <w:rFonts w:ascii="华文楷体" w:eastAsia="华文楷体" w:hAnsi="华文楷体"/>
        </w:rPr>
      </w:pPr>
    </w:p>
    <w:p w14:paraId="1DEA0C66"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以下是根据本次发布会内容进行的梳理的要点：</w:t>
      </w:r>
    </w:p>
    <w:p w14:paraId="36EA735B" w14:textId="77777777" w:rsidR="00ED5EBF" w:rsidRDefault="00ED5EBF">
      <w:pPr>
        <w:spacing w:line="360" w:lineRule="auto"/>
        <w:ind w:right="357" w:firstLineChars="200" w:firstLine="480"/>
        <w:jc w:val="left"/>
        <w:rPr>
          <w:rFonts w:ascii="华文楷体" w:eastAsia="华文楷体" w:hAnsi="华文楷体"/>
        </w:rPr>
      </w:pPr>
    </w:p>
    <w:p w14:paraId="5B583CC7"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1.</w:t>
      </w:r>
      <w:r>
        <w:rPr>
          <w:rFonts w:ascii="华文楷体" w:eastAsia="华文楷体" w:hAnsi="华文楷体" w:hint="eastAsia"/>
        </w:rPr>
        <w:t>金融监管体制改革：央行将起到更重要的作用</w:t>
      </w:r>
    </w:p>
    <w:p w14:paraId="63208C83" w14:textId="77777777" w:rsidR="00ED5EBF" w:rsidRDefault="00ED5EBF">
      <w:pPr>
        <w:spacing w:line="360" w:lineRule="auto"/>
        <w:ind w:right="357" w:firstLineChars="200" w:firstLine="480"/>
        <w:jc w:val="left"/>
        <w:rPr>
          <w:rFonts w:ascii="华文楷体" w:eastAsia="华文楷体" w:hAnsi="华文楷体"/>
        </w:rPr>
      </w:pPr>
    </w:p>
    <w:p w14:paraId="72BB5ED8"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在被问及央行将在中国新的金融监管架构中扮演什么样的角色时，周小川表示，国务院金融稳定发展</w:t>
      </w:r>
      <w:r>
        <w:rPr>
          <w:rFonts w:ascii="华文楷体" w:eastAsia="华文楷体" w:hAnsi="华文楷体" w:hint="eastAsia"/>
        </w:rPr>
        <w:t>委员会的办公室放在人民银行等都表明央行将在新的金融监管框架中起到更重要的作用。国家机构改革中的一方面内容是人民银行要牵头，增强各个金融机构特别是监管机构之间的协调，提高协调的效率。</w:t>
      </w:r>
    </w:p>
    <w:p w14:paraId="19327BD5" w14:textId="77777777" w:rsidR="00ED5EBF" w:rsidRDefault="00ED5EBF">
      <w:pPr>
        <w:spacing w:line="360" w:lineRule="auto"/>
        <w:ind w:right="357" w:firstLineChars="200" w:firstLine="480"/>
        <w:jc w:val="left"/>
        <w:rPr>
          <w:rFonts w:ascii="华文楷体" w:eastAsia="华文楷体" w:hAnsi="华文楷体"/>
        </w:rPr>
      </w:pPr>
    </w:p>
    <w:p w14:paraId="40C55B7E"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具体来说：一是过去监管体制的空白需要尽快填补；二是金融监管规则也出现了一些缺陷，需要增强金融规则的制定；此外，一些已经发生的金融机构或者准金融机构的风险需要抓紧进行处置，维持金融系统的健康。</w:t>
      </w:r>
    </w:p>
    <w:p w14:paraId="6E53C4B1" w14:textId="77777777" w:rsidR="00ED5EBF" w:rsidRDefault="00ED5EBF">
      <w:pPr>
        <w:spacing w:line="360" w:lineRule="auto"/>
        <w:ind w:right="357" w:firstLineChars="200" w:firstLine="480"/>
        <w:jc w:val="left"/>
        <w:rPr>
          <w:rFonts w:ascii="华文楷体" w:eastAsia="华文楷体" w:hAnsi="华文楷体"/>
        </w:rPr>
      </w:pPr>
    </w:p>
    <w:p w14:paraId="1EADA4ED"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对于市场热议的中国是否会采取英国在金融监管框架上采取“双峰”模式，周小川称，中国的机构改革还是主要依据中国国情，也参考了国际上各种不同</w:t>
      </w:r>
      <w:r>
        <w:rPr>
          <w:rFonts w:ascii="华文楷体" w:eastAsia="华文楷体" w:hAnsi="华文楷体" w:hint="eastAsia"/>
        </w:rPr>
        <w:t>的金融监管机构的设置，参考的过程中也研究了所谓“双峰”监管的体制，但目前觉得还是要观察一段时间。</w:t>
      </w:r>
    </w:p>
    <w:p w14:paraId="069CDDDC" w14:textId="77777777" w:rsidR="00ED5EBF" w:rsidRDefault="00ED5EBF">
      <w:pPr>
        <w:spacing w:line="360" w:lineRule="auto"/>
        <w:ind w:right="357" w:firstLineChars="200" w:firstLine="480"/>
        <w:jc w:val="left"/>
        <w:rPr>
          <w:rFonts w:ascii="华文楷体" w:eastAsia="华文楷体" w:hAnsi="华文楷体"/>
        </w:rPr>
      </w:pPr>
    </w:p>
    <w:p w14:paraId="4AF7F885"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2.</w:t>
      </w:r>
      <w:r>
        <w:rPr>
          <w:rFonts w:ascii="华文楷体" w:eastAsia="华文楷体" w:hAnsi="华文楷体" w:hint="eastAsia"/>
        </w:rPr>
        <w:t>数字货币：最近的动作是和业界共同组织分布式研发</w:t>
      </w:r>
    </w:p>
    <w:p w14:paraId="2605D79E" w14:textId="77777777" w:rsidR="00ED5EBF" w:rsidRDefault="00ED5EBF">
      <w:pPr>
        <w:spacing w:line="360" w:lineRule="auto"/>
        <w:ind w:right="357" w:firstLineChars="200" w:firstLine="480"/>
        <w:jc w:val="left"/>
        <w:rPr>
          <w:rFonts w:ascii="华文楷体" w:eastAsia="华文楷体" w:hAnsi="华文楷体"/>
        </w:rPr>
      </w:pPr>
    </w:p>
    <w:p w14:paraId="492D7EF2"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针对外界关注的央行发行数字货币的进展，周小川透露最近的动作是和业界共同组织分布式研发，依靠和市场共同合作的方式来研发数字货币。他介绍称，央行用的研发的名字叫“</w:t>
      </w:r>
      <w:r>
        <w:rPr>
          <w:rFonts w:ascii="华文楷体" w:eastAsia="华文楷体" w:hAnsi="华文楷体" w:hint="eastAsia"/>
        </w:rPr>
        <w:t>DC/EP</w:t>
      </w:r>
      <w:r>
        <w:rPr>
          <w:rFonts w:ascii="华文楷体" w:eastAsia="华文楷体" w:hAnsi="华文楷体" w:hint="eastAsia"/>
        </w:rPr>
        <w:t>”，</w:t>
      </w:r>
      <w:r>
        <w:rPr>
          <w:rFonts w:ascii="华文楷体" w:eastAsia="华文楷体" w:hAnsi="华文楷体" w:hint="eastAsia"/>
        </w:rPr>
        <w:t>DC</w:t>
      </w:r>
      <w:r>
        <w:rPr>
          <w:rFonts w:ascii="华文楷体" w:eastAsia="华文楷体" w:hAnsi="华文楷体" w:hint="eastAsia"/>
        </w:rPr>
        <w:t>，</w:t>
      </w:r>
      <w:r>
        <w:rPr>
          <w:rFonts w:ascii="华文楷体" w:eastAsia="华文楷体" w:hAnsi="华文楷体" w:hint="eastAsia"/>
        </w:rPr>
        <w:t>digital currency</w:t>
      </w:r>
      <w:r>
        <w:rPr>
          <w:rFonts w:ascii="华文楷体" w:eastAsia="华文楷体" w:hAnsi="华文楷体" w:hint="eastAsia"/>
        </w:rPr>
        <w:t>，是数字货币；</w:t>
      </w:r>
      <w:r>
        <w:rPr>
          <w:rFonts w:ascii="华文楷体" w:eastAsia="华文楷体" w:hAnsi="华文楷体" w:hint="eastAsia"/>
        </w:rPr>
        <w:t>EP</w:t>
      </w:r>
      <w:r>
        <w:rPr>
          <w:rFonts w:ascii="华文楷体" w:eastAsia="华文楷体" w:hAnsi="华文楷体" w:hint="eastAsia"/>
        </w:rPr>
        <w:t>，</w:t>
      </w:r>
      <w:r>
        <w:rPr>
          <w:rFonts w:ascii="华文楷体" w:eastAsia="华文楷体" w:hAnsi="华文楷体" w:hint="eastAsia"/>
        </w:rPr>
        <w:t>electronic payment</w:t>
      </w:r>
      <w:r>
        <w:rPr>
          <w:rFonts w:ascii="华文楷体" w:eastAsia="华文楷体" w:hAnsi="华文楷体" w:hint="eastAsia"/>
        </w:rPr>
        <w:t>，是电子支付。</w:t>
      </w:r>
    </w:p>
    <w:p w14:paraId="716BECBE" w14:textId="77777777" w:rsidR="00ED5EBF" w:rsidRDefault="00ED5EBF">
      <w:pPr>
        <w:spacing w:line="360" w:lineRule="auto"/>
        <w:ind w:right="357" w:firstLineChars="200" w:firstLine="480"/>
        <w:jc w:val="left"/>
        <w:rPr>
          <w:rFonts w:ascii="华文楷体" w:eastAsia="华文楷体" w:hAnsi="华文楷体"/>
        </w:rPr>
      </w:pPr>
    </w:p>
    <w:p w14:paraId="54662544"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周小川表示，研究数字货币不是说让货币去实现某一种技术方案的应用，而是说本质</w:t>
      </w:r>
      <w:r>
        <w:rPr>
          <w:rFonts w:ascii="华文楷体" w:eastAsia="华文楷体" w:hAnsi="华文楷体" w:hint="eastAsia"/>
        </w:rPr>
        <w:t>上是要追求零售支付系统的方便性、快捷性和低成本，同时也必须考虑安全性和保护隐私。</w:t>
      </w:r>
    </w:p>
    <w:p w14:paraId="6DB07F70" w14:textId="77777777" w:rsidR="00ED5EBF" w:rsidRDefault="00ED5EBF">
      <w:pPr>
        <w:spacing w:line="360" w:lineRule="auto"/>
        <w:ind w:right="357" w:firstLineChars="200" w:firstLine="480"/>
        <w:jc w:val="left"/>
        <w:rPr>
          <w:rFonts w:ascii="华文楷体" w:eastAsia="华文楷体" w:hAnsi="华文楷体"/>
        </w:rPr>
      </w:pPr>
    </w:p>
    <w:p w14:paraId="2715CE72"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“未来来讲可能传统的纸币、硬币这种形式的东西会逐渐缩小，甚至可能有一天就不存在了，这种可能性也是存在的。”周小川表示。</w:t>
      </w:r>
    </w:p>
    <w:p w14:paraId="0A9DAE7A" w14:textId="77777777" w:rsidR="00ED5EBF" w:rsidRDefault="00ED5EBF">
      <w:pPr>
        <w:spacing w:line="360" w:lineRule="auto"/>
        <w:ind w:right="357" w:firstLineChars="200" w:firstLine="480"/>
        <w:jc w:val="left"/>
        <w:rPr>
          <w:rFonts w:ascii="华文楷体" w:eastAsia="华文楷体" w:hAnsi="华文楷体"/>
        </w:rPr>
      </w:pPr>
    </w:p>
    <w:p w14:paraId="5E3B4799"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他同时表示，在研发数字货币过程中，要注意整体的金融稳定、防范风险，要保证货币政策、金融稳定政策的传导机制，同时要保护消费者。要经过充分的测试、局部的测试，可靠了以后，再进行推广。</w:t>
      </w:r>
    </w:p>
    <w:p w14:paraId="2336AB26" w14:textId="77777777" w:rsidR="00ED5EBF" w:rsidRDefault="00ED5EBF">
      <w:pPr>
        <w:spacing w:line="360" w:lineRule="auto"/>
        <w:ind w:right="357" w:firstLineChars="200" w:firstLine="480"/>
        <w:jc w:val="left"/>
        <w:rPr>
          <w:rFonts w:ascii="华文楷体" w:eastAsia="华文楷体" w:hAnsi="华文楷体"/>
        </w:rPr>
      </w:pPr>
    </w:p>
    <w:p w14:paraId="0350A03C"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3.</w:t>
      </w:r>
      <w:r>
        <w:rPr>
          <w:rFonts w:ascii="华文楷体" w:eastAsia="华文楷体" w:hAnsi="华文楷体" w:hint="eastAsia"/>
        </w:rPr>
        <w:t>谈比特币等虚拟货币：没有认可，监管是动态的</w:t>
      </w:r>
    </w:p>
    <w:p w14:paraId="471FBF97" w14:textId="77777777" w:rsidR="00ED5EBF" w:rsidRDefault="00ED5EBF">
      <w:pPr>
        <w:spacing w:line="360" w:lineRule="auto"/>
        <w:ind w:right="357" w:firstLineChars="200" w:firstLine="480"/>
        <w:jc w:val="left"/>
        <w:rPr>
          <w:rFonts w:ascii="华文楷体" w:eastAsia="华文楷体" w:hAnsi="华文楷体"/>
        </w:rPr>
      </w:pPr>
    </w:p>
    <w:p w14:paraId="2805DAA0"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央行也给出了对比特币等虚拟资产的态度，周小川表示，所谓比特币一类的虚拟货币像纸币和硬币、信用卡一样作为零售支付工具，目前我们没有认可，银行系统不接受，也不提供相关的服务。</w:t>
      </w:r>
    </w:p>
    <w:p w14:paraId="03A103A5" w14:textId="77777777" w:rsidR="00ED5EBF" w:rsidRDefault="00ED5EBF">
      <w:pPr>
        <w:spacing w:line="360" w:lineRule="auto"/>
        <w:ind w:right="357" w:firstLineChars="200" w:firstLine="480"/>
        <w:jc w:val="left"/>
        <w:rPr>
          <w:rFonts w:ascii="华文楷体" w:eastAsia="华文楷体" w:hAnsi="华文楷体"/>
        </w:rPr>
      </w:pPr>
    </w:p>
    <w:p w14:paraId="53158A69"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针对未来的监管，周小川表示，首先是很动态的，取决于技术的成熟程度，也取决于最后测试试验、评估情况，还有待观察，不是说马上就要拿什么样的监管措施。</w:t>
      </w:r>
    </w:p>
    <w:p w14:paraId="7C6BC432" w14:textId="77777777" w:rsidR="00ED5EBF" w:rsidRDefault="00ED5EBF">
      <w:pPr>
        <w:spacing w:line="360" w:lineRule="auto"/>
        <w:ind w:right="357" w:firstLineChars="200" w:firstLine="480"/>
        <w:jc w:val="left"/>
        <w:rPr>
          <w:rFonts w:ascii="华文楷体" w:eastAsia="华文楷体" w:hAnsi="华文楷体"/>
        </w:rPr>
      </w:pPr>
    </w:p>
    <w:p w14:paraId="4D529B23"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“我们不太喜欢那种创造一种可投机的产品，让人家都有‘一夜暴富’的幻想，这不是一件什么好事。”周小川称。</w:t>
      </w:r>
    </w:p>
    <w:p w14:paraId="751679FC" w14:textId="77777777" w:rsidR="00ED5EBF" w:rsidRDefault="00ED5EBF">
      <w:pPr>
        <w:spacing w:line="360" w:lineRule="auto"/>
        <w:ind w:right="357" w:firstLineChars="200" w:firstLine="480"/>
        <w:jc w:val="left"/>
        <w:rPr>
          <w:rFonts w:ascii="华文楷体" w:eastAsia="华文楷体" w:hAnsi="华文楷体"/>
        </w:rPr>
      </w:pPr>
    </w:p>
    <w:p w14:paraId="7A52A471"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4.</w:t>
      </w:r>
      <w:r>
        <w:rPr>
          <w:rFonts w:ascii="华文楷体" w:eastAsia="华文楷体" w:hAnsi="华文楷体" w:hint="eastAsia"/>
        </w:rPr>
        <w:t>房地产金融：信贷质量总体上良好，风险可控</w:t>
      </w:r>
    </w:p>
    <w:p w14:paraId="4F7B7278" w14:textId="77777777" w:rsidR="00ED5EBF" w:rsidRDefault="00ED5EBF">
      <w:pPr>
        <w:spacing w:line="360" w:lineRule="auto"/>
        <w:ind w:right="357" w:firstLineChars="200" w:firstLine="480"/>
        <w:jc w:val="left"/>
        <w:rPr>
          <w:rFonts w:ascii="华文楷体" w:eastAsia="华文楷体" w:hAnsi="华文楷体"/>
        </w:rPr>
      </w:pPr>
    </w:p>
    <w:p w14:paraId="4DE34354"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潘功胜表示，房贷利率是略有上升，但从</w:t>
      </w:r>
      <w:r>
        <w:rPr>
          <w:rFonts w:ascii="华文楷体" w:eastAsia="华文楷体" w:hAnsi="华文楷体" w:hint="eastAsia"/>
        </w:rPr>
        <w:t>稍微长一点的周期来看，仍然处于比较低的水平；</w:t>
      </w:r>
      <w:r>
        <w:rPr>
          <w:rFonts w:ascii="华文楷体" w:eastAsia="华文楷体" w:hAnsi="华文楷体" w:hint="eastAsia"/>
        </w:rPr>
        <w:t>2017</w:t>
      </w:r>
      <w:r>
        <w:rPr>
          <w:rFonts w:ascii="华文楷体" w:eastAsia="华文楷体" w:hAnsi="华文楷体" w:hint="eastAsia"/>
        </w:rPr>
        <w:t>年和今年</w:t>
      </w:r>
      <w:r>
        <w:rPr>
          <w:rFonts w:ascii="华文楷体" w:eastAsia="华文楷体" w:hAnsi="华文楷体" w:hint="eastAsia"/>
        </w:rPr>
        <w:t>1</w:t>
      </w:r>
      <w:r>
        <w:rPr>
          <w:rFonts w:ascii="华文楷体" w:eastAsia="华文楷体" w:hAnsi="华文楷体" w:hint="eastAsia"/>
        </w:rPr>
        <w:t>月个人住房贷款增长有所减少，但仍然是比较快的增长，可以满足市场的合理需要。</w:t>
      </w:r>
    </w:p>
    <w:p w14:paraId="229AD046" w14:textId="77777777" w:rsidR="00ED5EBF" w:rsidRDefault="00ED5EBF">
      <w:pPr>
        <w:spacing w:line="360" w:lineRule="auto"/>
        <w:ind w:right="357" w:firstLineChars="200" w:firstLine="480"/>
        <w:jc w:val="left"/>
        <w:rPr>
          <w:rFonts w:ascii="华文楷体" w:eastAsia="华文楷体" w:hAnsi="华文楷体"/>
        </w:rPr>
      </w:pPr>
    </w:p>
    <w:p w14:paraId="2834D058"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同时，央行会督促商业银行严格落实差别化的住房信贷政策，对住房贷款执行差别化的定价，积极支持居民特别是新市民购买住房的合理需求。</w:t>
      </w:r>
    </w:p>
    <w:p w14:paraId="0D297B51" w14:textId="77777777" w:rsidR="00ED5EBF" w:rsidRDefault="00ED5EBF">
      <w:pPr>
        <w:spacing w:line="360" w:lineRule="auto"/>
        <w:ind w:right="357" w:firstLineChars="200" w:firstLine="480"/>
        <w:jc w:val="left"/>
        <w:rPr>
          <w:rFonts w:ascii="华文楷体" w:eastAsia="华文楷体" w:hAnsi="华文楷体"/>
        </w:rPr>
      </w:pPr>
    </w:p>
    <w:p w14:paraId="0B6C8083"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在信贷质量上，央行称，中国房地产信贷质量总体上良好，房地产金融风险可控：银行业金融机构的房地产贷款不良率是不到</w:t>
      </w:r>
      <w:r>
        <w:rPr>
          <w:rFonts w:ascii="华文楷体" w:eastAsia="华文楷体" w:hAnsi="华文楷体" w:hint="eastAsia"/>
        </w:rPr>
        <w:t>1%</w:t>
      </w:r>
      <w:r>
        <w:rPr>
          <w:rFonts w:ascii="华文楷体" w:eastAsia="华文楷体" w:hAnsi="华文楷体" w:hint="eastAsia"/>
        </w:rPr>
        <w:t>，好于整体贷款的不良率水平，其中个人贷款不良率只有</w:t>
      </w:r>
      <w:r>
        <w:rPr>
          <w:rFonts w:ascii="华文楷体" w:eastAsia="华文楷体" w:hAnsi="华文楷体" w:hint="eastAsia"/>
        </w:rPr>
        <w:t>0.3%</w:t>
      </w:r>
      <w:r>
        <w:rPr>
          <w:rFonts w:ascii="华文楷体" w:eastAsia="华文楷体" w:hAnsi="华文楷体" w:hint="eastAsia"/>
        </w:rPr>
        <w:t>，平均首付比在</w:t>
      </w:r>
      <w:r>
        <w:rPr>
          <w:rFonts w:ascii="华文楷体" w:eastAsia="华文楷体" w:hAnsi="华文楷体" w:hint="eastAsia"/>
        </w:rPr>
        <w:t>33%</w:t>
      </w:r>
      <w:r>
        <w:rPr>
          <w:rFonts w:ascii="华文楷体" w:eastAsia="华文楷体" w:hAnsi="华文楷体" w:hint="eastAsia"/>
        </w:rPr>
        <w:t>以上，去年新发放贷款的平均首付比在</w:t>
      </w:r>
      <w:r>
        <w:rPr>
          <w:rFonts w:ascii="华文楷体" w:eastAsia="华文楷体" w:hAnsi="华文楷体" w:hint="eastAsia"/>
        </w:rPr>
        <w:t>37%</w:t>
      </w:r>
      <w:r>
        <w:rPr>
          <w:rFonts w:ascii="华文楷体" w:eastAsia="华文楷体" w:hAnsi="华文楷体" w:hint="eastAsia"/>
        </w:rPr>
        <w:t>，这也是在</w:t>
      </w:r>
      <w:r>
        <w:rPr>
          <w:rFonts w:ascii="华文楷体" w:eastAsia="华文楷体" w:hAnsi="华文楷体" w:hint="eastAsia"/>
        </w:rPr>
        <w:t>国际上是非常审慎的住房信贷政策。</w:t>
      </w:r>
    </w:p>
    <w:p w14:paraId="5C8AC9E6" w14:textId="77777777" w:rsidR="00ED5EBF" w:rsidRDefault="00ED5EBF">
      <w:pPr>
        <w:spacing w:line="360" w:lineRule="auto"/>
        <w:ind w:right="357" w:firstLineChars="200" w:firstLine="480"/>
        <w:jc w:val="left"/>
        <w:rPr>
          <w:rFonts w:ascii="华文楷体" w:eastAsia="华文楷体" w:hAnsi="华文楷体"/>
        </w:rPr>
      </w:pPr>
    </w:p>
    <w:p w14:paraId="5370721E"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“我们也关注到个人住房贷款、家庭部门杠杆率增长速度有点快，个别的房地产企业可能在财务方面比较激进，会有一些风险，这些我们都在密切关注。”潘功胜表示。</w:t>
      </w:r>
    </w:p>
    <w:p w14:paraId="1BD6C284" w14:textId="77777777" w:rsidR="00ED5EBF" w:rsidRDefault="00ED5EBF">
      <w:pPr>
        <w:spacing w:line="360" w:lineRule="auto"/>
        <w:ind w:right="357" w:firstLineChars="200" w:firstLine="480"/>
        <w:jc w:val="left"/>
        <w:rPr>
          <w:rFonts w:ascii="华文楷体" w:eastAsia="华文楷体" w:hAnsi="华文楷体"/>
        </w:rPr>
      </w:pPr>
    </w:p>
    <w:p w14:paraId="18F0FEB9"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5.</w:t>
      </w:r>
      <w:r>
        <w:rPr>
          <w:rFonts w:ascii="华文楷体" w:eastAsia="华文楷体" w:hAnsi="华文楷体" w:hint="eastAsia"/>
        </w:rPr>
        <w:t>淡化</w:t>
      </w:r>
      <w:r>
        <w:rPr>
          <w:rFonts w:ascii="华文楷体" w:eastAsia="华文楷体" w:hAnsi="华文楷体" w:hint="eastAsia"/>
        </w:rPr>
        <w:t>M2</w:t>
      </w:r>
      <w:r>
        <w:rPr>
          <w:rFonts w:ascii="华文楷体" w:eastAsia="华文楷体" w:hAnsi="华文楷体" w:hint="eastAsia"/>
        </w:rPr>
        <w:t>指标：已经不是非常精确衡量货币政策松紧的工具</w:t>
      </w:r>
    </w:p>
    <w:p w14:paraId="7068BE98" w14:textId="77777777" w:rsidR="00ED5EBF" w:rsidRDefault="00ED5EBF">
      <w:pPr>
        <w:spacing w:line="360" w:lineRule="auto"/>
        <w:ind w:right="357" w:firstLineChars="200" w:firstLine="480"/>
        <w:jc w:val="left"/>
        <w:rPr>
          <w:rFonts w:ascii="华文楷体" w:eastAsia="华文楷体" w:hAnsi="华文楷体"/>
        </w:rPr>
      </w:pPr>
    </w:p>
    <w:p w14:paraId="7D64C0AE"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今年的政府工作报告里中并未广义货币</w:t>
      </w:r>
      <w:r>
        <w:rPr>
          <w:rFonts w:ascii="华文楷体" w:eastAsia="华文楷体" w:hAnsi="华文楷体" w:hint="eastAsia"/>
        </w:rPr>
        <w:t>M2</w:t>
      </w:r>
      <w:r>
        <w:rPr>
          <w:rFonts w:ascii="华文楷体" w:eastAsia="华文楷体" w:hAnsi="华文楷体" w:hint="eastAsia"/>
        </w:rPr>
        <w:t>设定增长目标，对此周小川表示，由于</w:t>
      </w:r>
      <w:r>
        <w:rPr>
          <w:rFonts w:ascii="华文楷体" w:eastAsia="华文楷体" w:hAnsi="华文楷体" w:hint="eastAsia"/>
        </w:rPr>
        <w:t>M2</w:t>
      </w:r>
      <w:r>
        <w:rPr>
          <w:rFonts w:ascii="华文楷体" w:eastAsia="华文楷体" w:hAnsi="华文楷体" w:hint="eastAsia"/>
        </w:rPr>
        <w:t>指标口径总是在不断变化，金融市场结构、金融产品在不断地变化，</w:t>
      </w:r>
      <w:r>
        <w:rPr>
          <w:rFonts w:ascii="华文楷体" w:eastAsia="华文楷体" w:hAnsi="华文楷体" w:hint="eastAsia"/>
        </w:rPr>
        <w:t>M2</w:t>
      </w:r>
      <w:r>
        <w:rPr>
          <w:rFonts w:ascii="华文楷体" w:eastAsia="华文楷体" w:hAnsi="华文楷体" w:hint="eastAsia"/>
        </w:rPr>
        <w:t>不是一个非常精确的衡量货币政策松了紧了的一个工具。</w:t>
      </w:r>
    </w:p>
    <w:p w14:paraId="1D40CFF8" w14:textId="77777777" w:rsidR="00ED5EBF" w:rsidRDefault="00ED5EBF">
      <w:pPr>
        <w:spacing w:line="360" w:lineRule="auto"/>
        <w:ind w:right="357" w:firstLineChars="200" w:firstLine="480"/>
        <w:jc w:val="left"/>
        <w:rPr>
          <w:rFonts w:ascii="华文楷体" w:eastAsia="华文楷体" w:hAnsi="华文楷体"/>
        </w:rPr>
      </w:pPr>
    </w:p>
    <w:p w14:paraId="5A772134"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易纲也表示，随着市场的深化和金融的创新，使得</w:t>
      </w:r>
      <w:r>
        <w:rPr>
          <w:rFonts w:ascii="华文楷体" w:eastAsia="华文楷体" w:hAnsi="华文楷体" w:hint="eastAsia"/>
        </w:rPr>
        <w:t>M2</w:t>
      </w:r>
      <w:r>
        <w:rPr>
          <w:rFonts w:ascii="华文楷体" w:eastAsia="华文楷体" w:hAnsi="华文楷体" w:hint="eastAsia"/>
        </w:rPr>
        <w:t>跟经济走势的相关性变得</w:t>
      </w:r>
      <w:r>
        <w:rPr>
          <w:rFonts w:ascii="华文楷体" w:eastAsia="华文楷体" w:hAnsi="华文楷体" w:hint="eastAsia"/>
        </w:rPr>
        <w:t>模糊，有的时候预测性变得比较不确定。相关性下降是一个规律性的事，重新定义</w:t>
      </w:r>
      <w:r>
        <w:rPr>
          <w:rFonts w:ascii="华文楷体" w:eastAsia="华文楷体" w:hAnsi="华文楷体" w:hint="eastAsia"/>
        </w:rPr>
        <w:t>M2</w:t>
      </w:r>
      <w:r>
        <w:rPr>
          <w:rFonts w:ascii="华文楷体" w:eastAsia="华文楷体" w:hAnsi="华文楷体" w:hint="eastAsia"/>
        </w:rPr>
        <w:t>、改变</w:t>
      </w:r>
      <w:r>
        <w:rPr>
          <w:rFonts w:ascii="华文楷体" w:eastAsia="华文楷体" w:hAnsi="华文楷体" w:hint="eastAsia"/>
        </w:rPr>
        <w:t>M2</w:t>
      </w:r>
      <w:r>
        <w:rPr>
          <w:rFonts w:ascii="华文楷体" w:eastAsia="华文楷体" w:hAnsi="华文楷体" w:hint="eastAsia"/>
        </w:rPr>
        <w:t>的口径也不能够完全解决这个问题。所以，针对这种新的问题和新的情况，要更注意盘活存量，更注意优化货币信贷存量的结构。</w:t>
      </w:r>
    </w:p>
    <w:p w14:paraId="2741A601" w14:textId="77777777" w:rsidR="00ED5EBF" w:rsidRDefault="00ED5EBF">
      <w:pPr>
        <w:spacing w:line="360" w:lineRule="auto"/>
        <w:ind w:right="357" w:firstLineChars="200" w:firstLine="480"/>
        <w:jc w:val="left"/>
        <w:rPr>
          <w:rFonts w:ascii="华文楷体" w:eastAsia="华文楷体" w:hAnsi="华文楷体"/>
        </w:rPr>
      </w:pPr>
    </w:p>
    <w:p w14:paraId="1C8A2D3D"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7.</w:t>
      </w:r>
      <w:r>
        <w:rPr>
          <w:rFonts w:ascii="华文楷体" w:eastAsia="华文楷体" w:hAnsi="华文楷体" w:hint="eastAsia"/>
        </w:rPr>
        <w:t>贷款利率上升：中国实际利率是稳定的</w:t>
      </w:r>
    </w:p>
    <w:p w14:paraId="7BF62B76" w14:textId="77777777" w:rsidR="00ED5EBF" w:rsidRDefault="00ED5EBF">
      <w:pPr>
        <w:spacing w:line="360" w:lineRule="auto"/>
        <w:ind w:right="357" w:firstLineChars="200" w:firstLine="480"/>
        <w:jc w:val="left"/>
        <w:rPr>
          <w:rFonts w:ascii="华文楷体" w:eastAsia="华文楷体" w:hAnsi="华文楷体"/>
        </w:rPr>
      </w:pPr>
    </w:p>
    <w:p w14:paraId="2DEE57D0"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在被问及贷款利率走高是否影响实体经济时，易纲表示，去年贷款利率同比上升了</w:t>
      </w:r>
      <w:r>
        <w:rPr>
          <w:rFonts w:ascii="华文楷体" w:eastAsia="华文楷体" w:hAnsi="华文楷体" w:hint="eastAsia"/>
        </w:rPr>
        <w:t>0.4%</w:t>
      </w:r>
      <w:r>
        <w:rPr>
          <w:rFonts w:ascii="华文楷体" w:eastAsia="华文楷体" w:hAnsi="华文楷体" w:hint="eastAsia"/>
        </w:rPr>
        <w:t>，但中国的实际利率是稳定的，和经济走势相一致，资金面上供给也是比较平衡的。</w:t>
      </w:r>
    </w:p>
    <w:p w14:paraId="2BAB897A" w14:textId="77777777" w:rsidR="00ED5EBF" w:rsidRDefault="00ED5EBF">
      <w:pPr>
        <w:spacing w:line="360" w:lineRule="auto"/>
        <w:ind w:right="357" w:firstLineChars="200" w:firstLine="480"/>
        <w:jc w:val="left"/>
        <w:rPr>
          <w:rFonts w:ascii="华文楷体" w:eastAsia="华文楷体" w:hAnsi="华文楷体"/>
        </w:rPr>
      </w:pPr>
    </w:p>
    <w:p w14:paraId="6EC5C8A9"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周小川则表示，中国广义货币的总量已经相当大，在追求质量型增长的时候，就有可能减少过去大量依靠资金支持的这种增长方式。既要看到整个资金上数量和价格有上升趋势的一面，同时也要看到它也有提高效益和价格下降的一面。</w:t>
      </w:r>
    </w:p>
    <w:p w14:paraId="34AFF634" w14:textId="77777777" w:rsidR="00ED5EBF" w:rsidRDefault="00ED5EBF">
      <w:pPr>
        <w:spacing w:line="360" w:lineRule="auto"/>
        <w:ind w:right="357" w:firstLineChars="200" w:firstLine="480"/>
        <w:jc w:val="left"/>
        <w:rPr>
          <w:rFonts w:ascii="华文楷体" w:eastAsia="华文楷体" w:hAnsi="华文楷体"/>
        </w:rPr>
      </w:pPr>
    </w:p>
    <w:p w14:paraId="5D84F7A4"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8.2</w:t>
      </w:r>
      <w:r>
        <w:rPr>
          <w:rFonts w:ascii="华文楷体" w:eastAsia="华文楷体" w:hAnsi="华文楷体" w:hint="eastAsia"/>
        </w:rPr>
        <w:t>月外汇储备的突然减少：中国国际收支平衡和外汇形势没有任何重要的变化</w:t>
      </w:r>
    </w:p>
    <w:p w14:paraId="511D24BF" w14:textId="77777777" w:rsidR="00ED5EBF" w:rsidRDefault="00ED5EBF">
      <w:pPr>
        <w:spacing w:line="360" w:lineRule="auto"/>
        <w:ind w:right="357" w:firstLineChars="200" w:firstLine="480"/>
        <w:jc w:val="left"/>
        <w:rPr>
          <w:rFonts w:ascii="华文楷体" w:eastAsia="华文楷体" w:hAnsi="华文楷体"/>
        </w:rPr>
      </w:pPr>
    </w:p>
    <w:p w14:paraId="661788E1"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今年</w:t>
      </w:r>
      <w:r>
        <w:rPr>
          <w:rFonts w:ascii="华文楷体" w:eastAsia="华文楷体" w:hAnsi="华文楷体" w:hint="eastAsia"/>
        </w:rPr>
        <w:t>2</w:t>
      </w:r>
      <w:r>
        <w:rPr>
          <w:rFonts w:ascii="华文楷体" w:eastAsia="华文楷体" w:hAnsi="华文楷体" w:hint="eastAsia"/>
        </w:rPr>
        <w:t>月中国外汇储备结束了此前的</w:t>
      </w:r>
      <w:r>
        <w:rPr>
          <w:rFonts w:ascii="华文楷体" w:eastAsia="华文楷体" w:hAnsi="华文楷体" w:hint="eastAsia"/>
        </w:rPr>
        <w:t>12</w:t>
      </w:r>
      <w:r>
        <w:rPr>
          <w:rFonts w:ascii="华文楷体" w:eastAsia="华文楷体" w:hAnsi="华文楷体" w:hint="eastAsia"/>
        </w:rPr>
        <w:t>月连续上升，对此，周小川从会计的角度作出了解答：第一，现在外汇储备还是以美元来计算，美元升或者贬值，外汇储备里其他的货币成份折算成美元的时候就变了，最近美元有一点回升，所以外汇储备加总就会有</w:t>
      </w:r>
      <w:r>
        <w:rPr>
          <w:rFonts w:ascii="华文楷体" w:eastAsia="华文楷体" w:hAnsi="华文楷体" w:hint="eastAsia"/>
        </w:rPr>
        <w:t>所减少。第二，在外汇储备中，有很多项目按照当前的会计准则都是叫“盯市”（</w:t>
      </w:r>
      <w:r>
        <w:rPr>
          <w:rFonts w:ascii="华文楷体" w:eastAsia="华文楷体" w:hAnsi="华文楷体" w:hint="eastAsia"/>
        </w:rPr>
        <w:t>mark to market</w:t>
      </w:r>
      <w:r>
        <w:rPr>
          <w:rFonts w:ascii="华文楷体" w:eastAsia="华文楷体" w:hAnsi="华文楷体" w:hint="eastAsia"/>
        </w:rPr>
        <w:t>）计算，外汇储备投资的债券、股票和其他的这一类资产，它会随市场变化发生价值变化。</w:t>
      </w:r>
    </w:p>
    <w:p w14:paraId="2FEB033F" w14:textId="77777777" w:rsidR="00ED5EBF" w:rsidRDefault="00ED5EBF">
      <w:pPr>
        <w:spacing w:line="360" w:lineRule="auto"/>
        <w:ind w:right="357" w:firstLineChars="200" w:firstLine="480"/>
        <w:jc w:val="left"/>
        <w:rPr>
          <w:rFonts w:ascii="华文楷体" w:eastAsia="华文楷体" w:hAnsi="华文楷体"/>
        </w:rPr>
      </w:pPr>
    </w:p>
    <w:p w14:paraId="65E843C1"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“但是，从中国国际收支平衡和外汇形势来讲，都没有任何重要的变化。”周小川强调。</w:t>
      </w:r>
    </w:p>
    <w:p w14:paraId="1A7C21FA" w14:textId="77777777" w:rsidR="00ED5EBF" w:rsidRDefault="00ED5EBF">
      <w:pPr>
        <w:spacing w:line="360" w:lineRule="auto"/>
        <w:ind w:right="357" w:firstLineChars="200" w:firstLine="480"/>
        <w:jc w:val="left"/>
        <w:rPr>
          <w:rFonts w:ascii="华文楷体" w:eastAsia="华文楷体" w:hAnsi="华文楷体"/>
        </w:rPr>
      </w:pPr>
    </w:p>
    <w:p w14:paraId="273025A6"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9.</w:t>
      </w:r>
      <w:r>
        <w:rPr>
          <w:rFonts w:ascii="华文楷体" w:eastAsia="华文楷体" w:hAnsi="华文楷体" w:hint="eastAsia"/>
        </w:rPr>
        <w:t>资管新规：履行相关程序后会尽快公开</w:t>
      </w:r>
    </w:p>
    <w:p w14:paraId="7D21231F" w14:textId="77777777" w:rsidR="00ED5EBF" w:rsidRDefault="00ED5EBF">
      <w:pPr>
        <w:spacing w:line="360" w:lineRule="auto"/>
        <w:ind w:right="357" w:firstLineChars="200" w:firstLine="480"/>
        <w:jc w:val="left"/>
        <w:rPr>
          <w:rFonts w:ascii="华文楷体" w:eastAsia="华文楷体" w:hAnsi="华文楷体"/>
        </w:rPr>
      </w:pPr>
    </w:p>
    <w:p w14:paraId="7B4D69F3"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对于已经完成公开征求意见的资管新规，潘功胜表示，监管部门会考虑到怎么化解在资产管理业务方面所存在的问题、所隐藏的风险，以及对这个政策出台对金融市场的影响，在这之间寻找一个很好的平衡，目前正在会同相关部门进</w:t>
      </w:r>
      <w:r>
        <w:rPr>
          <w:rFonts w:ascii="华文楷体" w:eastAsia="华文楷体" w:hAnsi="华文楷体" w:hint="eastAsia"/>
        </w:rPr>
        <w:t>行修改，履行相关的程序以后会尽快向社会公开。</w:t>
      </w:r>
    </w:p>
    <w:p w14:paraId="63E67BB2" w14:textId="77777777" w:rsidR="00ED5EBF" w:rsidRDefault="00ED5EBF">
      <w:pPr>
        <w:spacing w:line="360" w:lineRule="auto"/>
        <w:ind w:right="357" w:firstLineChars="200" w:firstLine="480"/>
        <w:jc w:val="left"/>
        <w:rPr>
          <w:rFonts w:ascii="华文楷体" w:eastAsia="华文楷体" w:hAnsi="华文楷体"/>
        </w:rPr>
      </w:pPr>
    </w:p>
    <w:p w14:paraId="1C245593"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周小川则表示，资管方面的发展其实也是一种正常的发展，但中间也有一些不规范的地方，一些类似的产品规则不太一致，另外也有一些冒牌的，打着一个名义来做的，实质上是其他的事情，在这种情况下需要对资产管理行业进行规范化管理。</w:t>
      </w:r>
    </w:p>
    <w:p w14:paraId="38F3B02F" w14:textId="77777777" w:rsidR="00ED5EBF" w:rsidRDefault="00ED5EBF">
      <w:pPr>
        <w:spacing w:line="360" w:lineRule="auto"/>
        <w:ind w:right="357" w:firstLineChars="200" w:firstLine="480"/>
        <w:jc w:val="left"/>
        <w:rPr>
          <w:rFonts w:ascii="华文楷体" w:eastAsia="华文楷体" w:hAnsi="华文楷体"/>
        </w:rPr>
      </w:pPr>
    </w:p>
    <w:p w14:paraId="77BAD55C"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10.</w:t>
      </w:r>
      <w:r>
        <w:rPr>
          <w:rFonts w:ascii="华文楷体" w:eastAsia="华文楷体" w:hAnsi="华文楷体" w:hint="eastAsia"/>
        </w:rPr>
        <w:t>金融控股公司监管：资本要真实、有质量、充足</w:t>
      </w:r>
    </w:p>
    <w:p w14:paraId="559825E7" w14:textId="77777777" w:rsidR="00ED5EBF" w:rsidRDefault="00ED5EBF">
      <w:pPr>
        <w:spacing w:line="360" w:lineRule="auto"/>
        <w:ind w:right="357" w:firstLineChars="200" w:firstLine="480"/>
        <w:jc w:val="left"/>
        <w:rPr>
          <w:rFonts w:ascii="华文楷体" w:eastAsia="华文楷体" w:hAnsi="华文楷体"/>
        </w:rPr>
      </w:pPr>
    </w:p>
    <w:p w14:paraId="48F2F5F2"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周小川表示，社会上现在出现了金融控股的行为，酝酿了一定的风险，应该纳入金融控股公司的管理，目前正试图制定一些基本的规则，但目前也还在初步探索之中。</w:t>
      </w:r>
    </w:p>
    <w:p w14:paraId="2BD21563" w14:textId="77777777" w:rsidR="00ED5EBF" w:rsidRDefault="00ED5EBF">
      <w:pPr>
        <w:spacing w:line="360" w:lineRule="auto"/>
        <w:ind w:right="357" w:firstLineChars="200" w:firstLine="480"/>
        <w:jc w:val="left"/>
        <w:rPr>
          <w:rFonts w:ascii="华文楷体" w:eastAsia="华文楷体" w:hAnsi="华文楷体"/>
        </w:rPr>
      </w:pPr>
    </w:p>
    <w:p w14:paraId="358B53F4"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他同时给出了三点监管要求：金融控股公司要强调</w:t>
      </w:r>
      <w:r>
        <w:rPr>
          <w:rFonts w:ascii="华文楷体" w:eastAsia="华文楷体" w:hAnsi="华文楷体" w:hint="eastAsia"/>
        </w:rPr>
        <w:t>资本的真实性、资本的质量、资本的充足；金融控股的股权结构、受益所有人结构，实际控制人的状态应该保持足够的透明度；在所有权结构比较清晰的情况下，金融控股集团内部的金融机构要加强对关联交易的管理。</w:t>
      </w:r>
    </w:p>
    <w:p w14:paraId="3D207B14" w14:textId="77777777" w:rsidR="00ED5EBF" w:rsidRDefault="00ED5EBF">
      <w:pPr>
        <w:spacing w:line="360" w:lineRule="auto"/>
        <w:ind w:right="357" w:firstLineChars="200" w:firstLine="480"/>
        <w:jc w:val="left"/>
        <w:rPr>
          <w:rFonts w:ascii="华文楷体" w:eastAsia="华文楷体" w:hAnsi="华文楷体"/>
        </w:rPr>
      </w:pPr>
    </w:p>
    <w:p w14:paraId="221E7407"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11.</w:t>
      </w:r>
      <w:r>
        <w:rPr>
          <w:rFonts w:ascii="华文楷体" w:eastAsia="华文楷体" w:hAnsi="华文楷体" w:hint="eastAsia"/>
        </w:rPr>
        <w:t>金融对外开放：可以胆子大一些</w:t>
      </w:r>
    </w:p>
    <w:p w14:paraId="0555E825" w14:textId="77777777" w:rsidR="00ED5EBF" w:rsidRDefault="00ED5EBF">
      <w:pPr>
        <w:spacing w:line="360" w:lineRule="auto"/>
        <w:ind w:right="357" w:firstLineChars="200" w:firstLine="480"/>
        <w:jc w:val="left"/>
        <w:rPr>
          <w:rFonts w:ascii="华文楷体" w:eastAsia="华文楷体" w:hAnsi="华文楷体"/>
        </w:rPr>
      </w:pPr>
    </w:p>
    <w:p w14:paraId="4BB77E60"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“进入新的阶段后，确实在市场准入方面对外开放可以胆子大一些，开放的程度更高一些。”周小川表示。</w:t>
      </w:r>
    </w:p>
    <w:p w14:paraId="597805C9" w14:textId="77777777" w:rsidR="00ED5EBF" w:rsidRDefault="00ED5EBF">
      <w:pPr>
        <w:spacing w:line="360" w:lineRule="auto"/>
        <w:ind w:right="357" w:firstLineChars="200" w:firstLine="480"/>
        <w:jc w:val="left"/>
        <w:rPr>
          <w:rFonts w:ascii="华文楷体" w:eastAsia="华文楷体" w:hAnsi="华文楷体"/>
        </w:rPr>
      </w:pPr>
    </w:p>
    <w:p w14:paraId="6C82D2D9"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除了允许外面的机构在中国办金融业务，对外开放也包括中国的金融机构走向全球。</w:t>
      </w:r>
    </w:p>
    <w:p w14:paraId="71DFBF12" w14:textId="77777777" w:rsidR="00ED5EBF" w:rsidRDefault="00ED5EBF">
      <w:pPr>
        <w:spacing w:line="360" w:lineRule="auto"/>
        <w:ind w:right="357" w:firstLineChars="200" w:firstLine="480"/>
        <w:jc w:val="left"/>
        <w:rPr>
          <w:rFonts w:ascii="华文楷体" w:eastAsia="华文楷体" w:hAnsi="华文楷体"/>
        </w:rPr>
      </w:pPr>
    </w:p>
    <w:p w14:paraId="2FB219A4"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周小川表示，中国在货币可兑换方面逐渐迈出坚实稳定的步伐，预计这种开放的趋势还会继续加大。在政策上来讲，多数该研究的政策都已经研究过了，逐步寻找时机稳步向前推进。</w:t>
      </w:r>
    </w:p>
    <w:p w14:paraId="5E8E650B" w14:textId="77777777" w:rsidR="00ED5EBF" w:rsidRDefault="00ED5EBF">
      <w:pPr>
        <w:spacing w:line="360" w:lineRule="auto"/>
        <w:ind w:right="357" w:firstLineChars="200" w:firstLine="480"/>
        <w:jc w:val="left"/>
        <w:rPr>
          <w:rFonts w:ascii="华文楷体" w:eastAsia="华文楷体" w:hAnsi="华文楷体"/>
        </w:rPr>
      </w:pPr>
    </w:p>
    <w:p w14:paraId="17C7473E"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12.</w:t>
      </w:r>
      <w:r>
        <w:rPr>
          <w:rFonts w:ascii="华文楷体" w:eastAsia="华文楷体" w:hAnsi="华文楷体" w:hint="eastAsia"/>
        </w:rPr>
        <w:t>人民币国际化：主要的政策该研究的都已经研究</w:t>
      </w:r>
    </w:p>
    <w:p w14:paraId="5304CCBF" w14:textId="77777777" w:rsidR="00ED5EBF" w:rsidRDefault="00ED5EBF">
      <w:pPr>
        <w:spacing w:line="360" w:lineRule="auto"/>
        <w:ind w:right="357" w:firstLineChars="200" w:firstLine="480"/>
        <w:jc w:val="left"/>
        <w:rPr>
          <w:rFonts w:ascii="华文楷体" w:eastAsia="华文楷体" w:hAnsi="华文楷体"/>
        </w:rPr>
      </w:pPr>
    </w:p>
    <w:p w14:paraId="7A2F9034"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周小川表示，人民币国际化主要的政策该研究的都已经研究了，主要的步骤该做的都已经做了，市场参与者的使用是一个比较长的过程，谁也强制不了谁。</w:t>
      </w:r>
    </w:p>
    <w:p w14:paraId="0DBC0C69" w14:textId="77777777" w:rsidR="00ED5EBF" w:rsidRDefault="00ED5EBF">
      <w:pPr>
        <w:spacing w:line="360" w:lineRule="auto"/>
        <w:ind w:right="357" w:firstLineChars="200" w:firstLine="480"/>
        <w:jc w:val="left"/>
        <w:rPr>
          <w:rFonts w:ascii="华文楷体" w:eastAsia="华文楷体" w:hAnsi="华文楷体"/>
        </w:rPr>
      </w:pPr>
    </w:p>
    <w:p w14:paraId="0234D2D1"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对于从央行的角度能够继续推动的事，周小川介绍了两点，一是与资本市场和全球主要资本市场的连通；二是除了资本市场以外，整个金融市场其他方面的连通也会有所增强。另</w:t>
      </w:r>
      <w:r>
        <w:rPr>
          <w:rFonts w:ascii="华文楷体" w:eastAsia="华文楷体" w:hAnsi="华文楷体" w:hint="eastAsia"/>
        </w:rPr>
        <w:t>外，中国是稳步地、渐进地推进资本项目的可兑换，可兑换以后还存在着一些个别方面的限制，这些限制也会逐步有序放开，放开以后，人民币国际化还能够进一步地向前迈进。</w:t>
      </w:r>
    </w:p>
    <w:p w14:paraId="3F885805" w14:textId="77777777" w:rsidR="00ED5EBF" w:rsidRDefault="00ED5EBF">
      <w:pPr>
        <w:spacing w:line="360" w:lineRule="auto"/>
        <w:ind w:right="357" w:firstLineChars="200" w:firstLine="480"/>
        <w:jc w:val="left"/>
        <w:rPr>
          <w:rFonts w:ascii="华文楷体" w:eastAsia="华文楷体" w:hAnsi="华文楷体"/>
        </w:rPr>
      </w:pPr>
    </w:p>
    <w:p w14:paraId="6CA58538" w14:textId="77777777" w:rsidR="00ED5EBF" w:rsidRDefault="00ED5EBF">
      <w:pPr>
        <w:spacing w:line="360" w:lineRule="auto"/>
        <w:ind w:right="357" w:firstLineChars="200" w:firstLine="480"/>
        <w:jc w:val="left"/>
        <w:rPr>
          <w:rFonts w:ascii="华文楷体" w:eastAsia="华文楷体" w:hAnsi="华文楷体"/>
        </w:rPr>
      </w:pPr>
    </w:p>
    <w:p w14:paraId="24F4982D" w14:textId="77777777" w:rsidR="00ED5EBF" w:rsidRDefault="00ED5EBF">
      <w:pPr>
        <w:spacing w:line="360" w:lineRule="auto"/>
        <w:ind w:right="357"/>
        <w:jc w:val="left"/>
        <w:rPr>
          <w:rFonts w:ascii="华文楷体" w:eastAsia="华文楷体" w:hAnsi="华文楷体"/>
        </w:rPr>
      </w:pPr>
    </w:p>
    <w:p w14:paraId="567EC04D" w14:textId="77777777" w:rsidR="00ED5EBF" w:rsidRDefault="00ED5EBF">
      <w:pPr>
        <w:spacing w:line="360" w:lineRule="auto"/>
        <w:ind w:right="357"/>
        <w:jc w:val="left"/>
        <w:rPr>
          <w:rFonts w:ascii="华文楷体" w:eastAsia="华文楷体" w:hAnsi="华文楷体"/>
        </w:rPr>
      </w:pPr>
    </w:p>
    <w:p w14:paraId="57A42E86" w14:textId="77777777" w:rsidR="00ED5EBF" w:rsidRDefault="00ED5EBF">
      <w:pPr>
        <w:spacing w:line="360" w:lineRule="auto"/>
        <w:ind w:right="357"/>
        <w:jc w:val="left"/>
        <w:rPr>
          <w:rFonts w:ascii="华文楷体" w:eastAsia="华文楷体" w:hAnsi="华文楷体"/>
        </w:rPr>
      </w:pPr>
    </w:p>
    <w:p w14:paraId="5099C1BD" w14:textId="77777777" w:rsidR="00ED5EBF" w:rsidRDefault="00ED5EBF">
      <w:pPr>
        <w:spacing w:line="360" w:lineRule="auto"/>
        <w:ind w:right="357"/>
        <w:jc w:val="left"/>
        <w:rPr>
          <w:rFonts w:ascii="华文楷体" w:eastAsia="华文楷体" w:hAnsi="华文楷体"/>
        </w:rPr>
      </w:pPr>
    </w:p>
    <w:p w14:paraId="35AA618D" w14:textId="77777777" w:rsidR="00ED5EBF" w:rsidRDefault="00ED5EBF">
      <w:pPr>
        <w:spacing w:line="360" w:lineRule="auto"/>
        <w:ind w:right="357"/>
        <w:jc w:val="left"/>
        <w:rPr>
          <w:rFonts w:ascii="华文楷体" w:eastAsia="华文楷体" w:hAnsi="华文楷体"/>
        </w:rPr>
      </w:pPr>
    </w:p>
    <w:p w14:paraId="646D3BA8" w14:textId="77777777" w:rsidR="00ED5EBF" w:rsidRDefault="00ED5EBF">
      <w:pPr>
        <w:spacing w:line="360" w:lineRule="auto"/>
        <w:ind w:right="357"/>
        <w:jc w:val="left"/>
        <w:rPr>
          <w:rFonts w:ascii="华文楷体" w:eastAsia="华文楷体" w:hAnsi="华文楷体"/>
        </w:rPr>
      </w:pPr>
    </w:p>
    <w:p w14:paraId="4D968947" w14:textId="77777777" w:rsidR="00ED5EBF" w:rsidRDefault="00ED5EBF">
      <w:pPr>
        <w:spacing w:line="360" w:lineRule="auto"/>
        <w:ind w:right="357"/>
        <w:jc w:val="left"/>
        <w:rPr>
          <w:rFonts w:ascii="华文楷体" w:eastAsia="华文楷体" w:hAnsi="华文楷体"/>
        </w:rPr>
      </w:pPr>
    </w:p>
    <w:p w14:paraId="231D3C31" w14:textId="77777777" w:rsidR="00ED5EBF" w:rsidRDefault="00ED5EBF">
      <w:pPr>
        <w:spacing w:line="360" w:lineRule="auto"/>
        <w:ind w:right="357"/>
        <w:jc w:val="left"/>
        <w:rPr>
          <w:rFonts w:ascii="华文楷体" w:eastAsia="华文楷体" w:hAnsi="华文楷体"/>
        </w:rPr>
      </w:pPr>
    </w:p>
    <w:p w14:paraId="339ADDA6" w14:textId="77777777" w:rsidR="00ED5EBF" w:rsidRDefault="00ED5EBF">
      <w:pPr>
        <w:spacing w:line="360" w:lineRule="auto"/>
        <w:ind w:right="357"/>
        <w:jc w:val="left"/>
        <w:rPr>
          <w:rFonts w:ascii="华文楷体" w:eastAsia="华文楷体" w:hAnsi="华文楷体"/>
        </w:rPr>
      </w:pPr>
    </w:p>
    <w:p w14:paraId="5735E579" w14:textId="77777777" w:rsidR="00ED5EBF" w:rsidRDefault="00ED5EBF">
      <w:pPr>
        <w:spacing w:line="360" w:lineRule="auto"/>
        <w:ind w:right="357"/>
        <w:jc w:val="left"/>
        <w:rPr>
          <w:rFonts w:ascii="华文楷体" w:eastAsia="华文楷体" w:hAnsi="华文楷体"/>
        </w:rPr>
      </w:pPr>
    </w:p>
    <w:p w14:paraId="49B12753" w14:textId="77777777" w:rsidR="00ED5EBF" w:rsidRDefault="00ED5EBF">
      <w:pPr>
        <w:spacing w:line="360" w:lineRule="auto"/>
        <w:ind w:right="357"/>
        <w:jc w:val="left"/>
        <w:rPr>
          <w:rFonts w:ascii="华文楷体" w:eastAsia="华文楷体" w:hAnsi="华文楷体"/>
        </w:rPr>
      </w:pPr>
    </w:p>
    <w:p w14:paraId="2C3E8939" w14:textId="77777777" w:rsidR="00ED5EBF" w:rsidRDefault="00ED5EBF">
      <w:pPr>
        <w:spacing w:line="360" w:lineRule="auto"/>
        <w:ind w:right="357"/>
        <w:jc w:val="left"/>
        <w:rPr>
          <w:rFonts w:ascii="华文楷体" w:eastAsia="华文楷体" w:hAnsi="华文楷体"/>
        </w:rPr>
      </w:pPr>
    </w:p>
    <w:p w14:paraId="76232306" w14:textId="77777777" w:rsidR="00ED5EBF" w:rsidRDefault="00ED5EBF">
      <w:pPr>
        <w:spacing w:line="360" w:lineRule="auto"/>
        <w:ind w:firstLineChars="200" w:firstLine="480"/>
        <w:rPr>
          <w:rFonts w:ascii="华文楷体" w:eastAsia="华文楷体" w:hAnsi="华文楷体" w:cs="华文楷体"/>
        </w:rPr>
      </w:pPr>
    </w:p>
    <w:p w14:paraId="3D039CC8" w14:textId="77777777" w:rsidR="00ED5EBF" w:rsidRDefault="00ED5EBF">
      <w:pPr>
        <w:spacing w:line="360" w:lineRule="auto"/>
        <w:ind w:firstLineChars="200" w:firstLine="480"/>
        <w:rPr>
          <w:rFonts w:ascii="华文楷体" w:eastAsia="华文楷体" w:hAnsi="华文楷体" w:cs="华文楷体"/>
        </w:rPr>
      </w:pPr>
    </w:p>
    <w:p w14:paraId="4EA28B62" w14:textId="77777777" w:rsidR="00ED5EBF" w:rsidRDefault="002034C8">
      <w:pPr>
        <w:spacing w:line="360" w:lineRule="auto"/>
        <w:ind w:firstLineChars="200" w:firstLine="480"/>
        <w:jc w:val="center"/>
        <w:rPr>
          <w:rFonts w:ascii="华文中宋" w:eastAsia="华文中宋" w:hAnsi="华文中宋" w:cs="华文中宋"/>
          <w:b/>
          <w:bCs/>
        </w:rPr>
      </w:pPr>
      <w:bookmarkStart w:id="21" w:name="陈雨露谈金融服务实体：直接融资还有很大发展空间"/>
      <w:r>
        <w:rPr>
          <w:rFonts w:ascii="华文中宋" w:eastAsia="华文中宋" w:hAnsi="华文中宋" w:cs="华文中宋" w:hint="eastAsia"/>
          <w:b/>
          <w:bCs/>
        </w:rPr>
        <w:t>陈雨露谈金融服务实体：直接融资还有很大发展空间</w:t>
      </w:r>
      <w:bookmarkEnd w:id="21"/>
    </w:p>
    <w:p w14:paraId="4CCA0990" w14:textId="77777777" w:rsidR="00ED5EBF" w:rsidRDefault="002034C8">
      <w:pPr>
        <w:spacing w:line="360" w:lineRule="auto"/>
        <w:ind w:firstLineChars="200" w:firstLine="420"/>
        <w:jc w:val="center"/>
        <w:rPr>
          <w:rFonts w:ascii="华文楷体" w:eastAsia="华文楷体" w:hAnsi="华文楷体" w:cs="华文楷体"/>
        </w:rPr>
      </w:pPr>
      <w:r>
        <w:rPr>
          <w:rFonts w:ascii="华文楷体" w:eastAsia="华文楷体" w:hAnsi="华文楷体" w:cs="华文楷体" w:hint="eastAsia"/>
          <w:sz w:val="21"/>
          <w:szCs w:val="21"/>
        </w:rPr>
        <w:t>日期：</w:t>
      </w:r>
      <w:r>
        <w:rPr>
          <w:rFonts w:ascii="华文楷体" w:eastAsia="华文楷体" w:hAnsi="华文楷体" w:cs="华文楷体" w:hint="eastAsia"/>
          <w:sz w:val="21"/>
          <w:szCs w:val="21"/>
        </w:rPr>
        <w:t>2018</w:t>
      </w:r>
      <w:r>
        <w:rPr>
          <w:rFonts w:ascii="华文楷体" w:eastAsia="华文楷体" w:hAnsi="华文楷体" w:cs="华文楷体" w:hint="eastAsia"/>
          <w:sz w:val="21"/>
          <w:szCs w:val="21"/>
        </w:rPr>
        <w:t>年</w:t>
      </w:r>
      <w:r>
        <w:rPr>
          <w:rFonts w:ascii="华文楷体" w:eastAsia="华文楷体" w:hAnsi="华文楷体" w:cs="华文楷体" w:hint="eastAsia"/>
          <w:sz w:val="21"/>
          <w:szCs w:val="21"/>
        </w:rPr>
        <w:t>3</w:t>
      </w:r>
      <w:r>
        <w:rPr>
          <w:rFonts w:ascii="华文楷体" w:eastAsia="华文楷体" w:hAnsi="华文楷体" w:cs="华文楷体" w:hint="eastAsia"/>
          <w:sz w:val="21"/>
          <w:szCs w:val="21"/>
        </w:rPr>
        <w:t>月</w:t>
      </w:r>
      <w:r>
        <w:rPr>
          <w:rFonts w:ascii="华文楷体" w:eastAsia="华文楷体" w:hAnsi="华文楷体" w:cs="华文楷体" w:hint="eastAsia"/>
          <w:sz w:val="21"/>
          <w:szCs w:val="21"/>
        </w:rPr>
        <w:t>13</w:t>
      </w:r>
      <w:r>
        <w:rPr>
          <w:rFonts w:ascii="华文楷体" w:eastAsia="华文楷体" w:hAnsi="华文楷体" w:cs="华文楷体" w:hint="eastAsia"/>
          <w:sz w:val="21"/>
          <w:szCs w:val="21"/>
        </w:rPr>
        <w:t>日</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来源：新浪银行综合</w:t>
      </w:r>
    </w:p>
    <w:p w14:paraId="7DDDC6C7"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经济参考报</w:t>
      </w:r>
      <w:r>
        <w:rPr>
          <w:rFonts w:ascii="华文楷体" w:eastAsia="华文楷体" w:hAnsi="华文楷体" w:cs="华文楷体" w:hint="eastAsia"/>
        </w:rPr>
        <w:t xml:space="preserve"> </w:t>
      </w:r>
      <w:r>
        <w:rPr>
          <w:rFonts w:ascii="华文楷体" w:eastAsia="华文楷体" w:hAnsi="华文楷体" w:cs="华文楷体" w:hint="eastAsia"/>
        </w:rPr>
        <w:t>□记者</w:t>
      </w:r>
      <w:r>
        <w:rPr>
          <w:rFonts w:ascii="华文楷体" w:eastAsia="华文楷体" w:hAnsi="华文楷体" w:cs="华文楷体" w:hint="eastAsia"/>
        </w:rPr>
        <w:t xml:space="preserve"> </w:t>
      </w:r>
      <w:r>
        <w:rPr>
          <w:rFonts w:ascii="华文楷体" w:eastAsia="华文楷体" w:hAnsi="华文楷体" w:cs="华文楷体" w:hint="eastAsia"/>
        </w:rPr>
        <w:t>孙韶华</w:t>
      </w:r>
      <w:r>
        <w:rPr>
          <w:rFonts w:ascii="华文楷体" w:eastAsia="华文楷体" w:hAnsi="华文楷体" w:cs="华文楷体" w:hint="eastAsia"/>
        </w:rPr>
        <w:t xml:space="preserve"> </w:t>
      </w:r>
      <w:r>
        <w:rPr>
          <w:rFonts w:ascii="华文楷体" w:eastAsia="华文楷体" w:hAnsi="华文楷体" w:cs="华文楷体" w:hint="eastAsia"/>
        </w:rPr>
        <w:t>实习生</w:t>
      </w:r>
      <w:r>
        <w:rPr>
          <w:rFonts w:ascii="华文楷体" w:eastAsia="华文楷体" w:hAnsi="华文楷体" w:cs="华文楷体" w:hint="eastAsia"/>
        </w:rPr>
        <w:t xml:space="preserve"> </w:t>
      </w:r>
      <w:r>
        <w:rPr>
          <w:rFonts w:ascii="华文楷体" w:eastAsia="华文楷体" w:hAnsi="华文楷体" w:cs="华文楷体" w:hint="eastAsia"/>
        </w:rPr>
        <w:t>左翰嫡</w:t>
      </w:r>
      <w:r>
        <w:rPr>
          <w:rFonts w:ascii="华文楷体" w:eastAsia="华文楷体" w:hAnsi="华文楷体" w:cs="华文楷体" w:hint="eastAsia"/>
        </w:rPr>
        <w:t xml:space="preserve"> </w:t>
      </w:r>
      <w:r>
        <w:rPr>
          <w:rFonts w:ascii="华文楷体" w:eastAsia="华文楷体" w:hAnsi="华文楷体" w:cs="华文楷体" w:hint="eastAsia"/>
        </w:rPr>
        <w:t>北京报道</w:t>
      </w:r>
    </w:p>
    <w:p w14:paraId="401FCEF5" w14:textId="77777777" w:rsidR="00ED5EBF" w:rsidRDefault="00ED5EBF">
      <w:pPr>
        <w:spacing w:line="360" w:lineRule="auto"/>
        <w:rPr>
          <w:rFonts w:ascii="华文楷体" w:eastAsia="华文楷体" w:hAnsi="华文楷体" w:cs="华文楷体"/>
        </w:rPr>
      </w:pPr>
    </w:p>
    <w:p w14:paraId="1F5360DA"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12</w:t>
      </w:r>
      <w:r>
        <w:rPr>
          <w:rFonts w:ascii="华文楷体" w:eastAsia="华文楷体" w:hAnsi="华文楷体" w:cs="华文楷体" w:hint="eastAsia"/>
        </w:rPr>
        <w:t>日，在全国政协经济界别小组讨论会中，全国政协委员、中国人民银行副行长陈雨露回应关于金融服务实体经济的相关建议时表示，委员们指出金融服务实体经济应该是金融部门的天职和本源，金融服务实体经济的高质量发展是新时代的核心使命，对于这些表述他非常赞同。</w:t>
      </w:r>
    </w:p>
    <w:p w14:paraId="5CB7487C" w14:textId="77777777" w:rsidR="00ED5EBF" w:rsidRDefault="00ED5EBF">
      <w:pPr>
        <w:spacing w:line="360" w:lineRule="auto"/>
        <w:rPr>
          <w:rFonts w:ascii="华文楷体" w:eastAsia="华文楷体" w:hAnsi="华文楷体" w:cs="华文楷体"/>
        </w:rPr>
      </w:pPr>
    </w:p>
    <w:p w14:paraId="7E64AD36"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他指出，高质量发展需要一套新的指标体系、核算体系和绩效评价体系，对于金融服务实体经济来说，也急需这样一个更加科学、清晰的“指挥棒”。例如，如何根据五大发展理念，结合联合国国民核算体系改革的方向来编制创新发展账簿、居民福利账簿、环境核算账簿以及经过系统性风</w:t>
      </w:r>
      <w:r>
        <w:rPr>
          <w:rFonts w:ascii="华文楷体" w:eastAsia="华文楷体" w:hAnsi="华文楷体" w:cs="华文楷体" w:hint="eastAsia"/>
        </w:rPr>
        <w:t>险调整的金融增加值账簿等，使得金融服务实体经济的“指挥棒”更加准确，更加科学。</w:t>
      </w:r>
    </w:p>
    <w:p w14:paraId="7755ED98" w14:textId="77777777" w:rsidR="00ED5EBF" w:rsidRDefault="00ED5EBF">
      <w:pPr>
        <w:spacing w:line="360" w:lineRule="auto"/>
        <w:rPr>
          <w:rFonts w:ascii="华文楷体" w:eastAsia="华文楷体" w:hAnsi="华文楷体" w:cs="华文楷体"/>
        </w:rPr>
      </w:pPr>
    </w:p>
    <w:p w14:paraId="3688DF86" w14:textId="77777777" w:rsidR="00ED5EBF" w:rsidRDefault="002034C8">
      <w:pPr>
        <w:spacing w:line="360" w:lineRule="auto"/>
        <w:ind w:firstLine="480"/>
        <w:rPr>
          <w:rFonts w:ascii="华文楷体" w:eastAsia="华文楷体" w:hAnsi="华文楷体" w:cs="华文楷体"/>
        </w:rPr>
      </w:pPr>
      <w:r>
        <w:rPr>
          <w:rFonts w:ascii="华文楷体" w:eastAsia="华文楷体" w:hAnsi="华文楷体" w:cs="华文楷体" w:hint="eastAsia"/>
        </w:rPr>
        <w:t>对于金融以更大力度支持供给侧结构性改革，陈雨露表示，人民银行是世界大国当中唯一常态化动用基础货币或者是常态化动用信贷政策指引来支持供给侧结构性改革的央行，如何做得更加深入、更加科学，要进一步加强研究。</w:t>
      </w:r>
    </w:p>
    <w:p w14:paraId="3BF3E289" w14:textId="77777777" w:rsidR="00ED5EBF" w:rsidRDefault="002034C8">
      <w:pPr>
        <w:spacing w:line="360" w:lineRule="auto"/>
        <w:ind w:firstLine="480"/>
        <w:rPr>
          <w:rFonts w:ascii="华文楷体" w:eastAsia="华文楷体" w:hAnsi="华文楷体" w:cs="华文楷体"/>
        </w:rPr>
      </w:pPr>
      <w:r>
        <w:rPr>
          <w:rFonts w:ascii="华文楷体" w:eastAsia="华文楷体" w:hAnsi="华文楷体" w:cs="华文楷体" w:hint="eastAsia"/>
        </w:rPr>
        <w:t xml:space="preserve">　</w:t>
      </w:r>
    </w:p>
    <w:p w14:paraId="164666DB" w14:textId="77777777" w:rsidR="00ED5EBF" w:rsidRDefault="002034C8">
      <w:pPr>
        <w:spacing w:line="360" w:lineRule="auto"/>
        <w:ind w:firstLine="480"/>
        <w:rPr>
          <w:rFonts w:ascii="华文楷体" w:eastAsia="华文楷体" w:hAnsi="华文楷体" w:cs="华文楷体"/>
        </w:rPr>
      </w:pPr>
      <w:r>
        <w:rPr>
          <w:rFonts w:ascii="华文楷体" w:eastAsia="华文楷体" w:hAnsi="华文楷体" w:cs="华文楷体" w:hint="eastAsia"/>
        </w:rPr>
        <w:t>对于多层次资本市场的建设要取得实质性突破，他表示，债券市场过去五年每年发行额平均增长速度是</w:t>
      </w:r>
      <w:r>
        <w:rPr>
          <w:rFonts w:ascii="华文楷体" w:eastAsia="华文楷体" w:hAnsi="华文楷体" w:cs="华文楷体" w:hint="eastAsia"/>
        </w:rPr>
        <w:t>45.7%</w:t>
      </w:r>
      <w:r>
        <w:rPr>
          <w:rFonts w:ascii="华文楷体" w:eastAsia="华文楷体" w:hAnsi="华文楷体" w:cs="华文楷体" w:hint="eastAsia"/>
        </w:rPr>
        <w:t>，但是直接融资市场的发展，特别是股权融资市场还有很大的发展空间。优化我国的宏观融资结构，是一个非常急迫又责任重大的任务，只有</w:t>
      </w:r>
      <w:r>
        <w:rPr>
          <w:rFonts w:ascii="华文楷体" w:eastAsia="华文楷体" w:hAnsi="华文楷体" w:cs="华文楷体" w:hint="eastAsia"/>
        </w:rPr>
        <w:t>让宏观融资结构更加合理，才能缓解国家不断出现的宏观债务周期，更好地支持国家实体经济的结构性优化和发展。</w:t>
      </w:r>
    </w:p>
    <w:p w14:paraId="25E4A52B" w14:textId="77777777" w:rsidR="00ED5EBF" w:rsidRDefault="00ED5EBF">
      <w:pPr>
        <w:spacing w:line="360" w:lineRule="auto"/>
        <w:ind w:firstLine="480"/>
        <w:rPr>
          <w:rFonts w:ascii="华文楷体" w:eastAsia="华文楷体" w:hAnsi="华文楷体" w:cs="华文楷体"/>
        </w:rPr>
      </w:pPr>
    </w:p>
    <w:p w14:paraId="4FA132A5" w14:textId="77777777" w:rsidR="00ED5EBF" w:rsidRDefault="002034C8">
      <w:pPr>
        <w:spacing w:line="360" w:lineRule="auto"/>
        <w:ind w:firstLine="480"/>
        <w:rPr>
          <w:rFonts w:ascii="华文楷体" w:eastAsia="华文楷体" w:hAnsi="华文楷体" w:cs="华文楷体"/>
        </w:rPr>
      </w:pPr>
      <w:r>
        <w:rPr>
          <w:rFonts w:ascii="华文楷体" w:eastAsia="华文楷体" w:hAnsi="华文楷体" w:cs="华文楷体" w:hint="eastAsia"/>
        </w:rPr>
        <w:t>谈及防范金融系统风险，他表示，从央行来讲，要创造一个稳定、适宜的货币稳定和金融稳定环境。当前，贯彻落实“货币政策</w:t>
      </w:r>
      <w:r>
        <w:rPr>
          <w:rFonts w:ascii="华文楷体" w:eastAsia="华文楷体" w:hAnsi="华文楷体" w:cs="华文楷体" w:hint="eastAsia"/>
        </w:rPr>
        <w:t>+</w:t>
      </w:r>
      <w:r>
        <w:rPr>
          <w:rFonts w:ascii="华文楷体" w:eastAsia="华文楷体" w:hAnsi="华文楷体" w:cs="华文楷体" w:hint="eastAsia"/>
        </w:rPr>
        <w:t>宏观审慎政策”的新工具体系，是维护宏观金融稳定目标的最紧迫任务。</w:t>
      </w:r>
    </w:p>
    <w:p w14:paraId="7620BD7A" w14:textId="77777777" w:rsidR="00ED5EBF" w:rsidRDefault="00ED5EBF">
      <w:pPr>
        <w:spacing w:line="360" w:lineRule="auto"/>
        <w:ind w:firstLine="480"/>
        <w:rPr>
          <w:rFonts w:ascii="华文楷体" w:eastAsia="华文楷体" w:hAnsi="华文楷体" w:cs="华文楷体"/>
        </w:rPr>
      </w:pPr>
    </w:p>
    <w:p w14:paraId="6111F3D8" w14:textId="77777777" w:rsidR="00ED5EBF" w:rsidRDefault="002034C8">
      <w:pPr>
        <w:spacing w:line="360" w:lineRule="auto"/>
        <w:ind w:firstLine="480"/>
        <w:rPr>
          <w:rFonts w:ascii="华文楷体" w:eastAsia="华文楷体" w:hAnsi="华文楷体" w:cs="华文楷体"/>
        </w:rPr>
      </w:pPr>
      <w:r>
        <w:rPr>
          <w:rFonts w:ascii="华文楷体" w:eastAsia="华文楷体" w:hAnsi="华文楷体" w:cs="华文楷体" w:hint="eastAsia"/>
        </w:rPr>
        <w:t>对于金融业扩大开放，他表示，大家提出希望通过深化金融体制改革、扩大开放来实现金融业自身健康型竞争力的提升，更好地服务实体经济。这是很有建设性的。打铁还需自身硬，如何通过扩大开放、深化改革，来让中国金融业自身核心竞争力不断提升</w:t>
      </w:r>
      <w:r>
        <w:rPr>
          <w:rFonts w:ascii="华文楷体" w:eastAsia="华文楷体" w:hAnsi="华文楷体" w:cs="华文楷体" w:hint="eastAsia"/>
        </w:rPr>
        <w:t>，更加长远地服务好实体经济，这是非常重要的任务。</w:t>
      </w:r>
    </w:p>
    <w:p w14:paraId="08C48F7F" w14:textId="77777777" w:rsidR="00ED5EBF" w:rsidRDefault="00ED5EBF">
      <w:pPr>
        <w:spacing w:line="360" w:lineRule="auto"/>
        <w:ind w:firstLine="480"/>
        <w:rPr>
          <w:rFonts w:ascii="华文楷体" w:eastAsia="华文楷体" w:hAnsi="华文楷体" w:cs="华文楷体"/>
        </w:rPr>
      </w:pPr>
    </w:p>
    <w:p w14:paraId="77C1AF6F" w14:textId="77777777" w:rsidR="00ED5EBF" w:rsidRDefault="002034C8">
      <w:pPr>
        <w:spacing w:line="360" w:lineRule="auto"/>
        <w:ind w:firstLine="480"/>
        <w:jc w:val="right"/>
        <w:rPr>
          <w:rFonts w:ascii="华文楷体" w:eastAsia="华文楷体" w:hAnsi="华文楷体" w:cs="华文楷体"/>
        </w:rPr>
      </w:pPr>
      <w:r>
        <w:rPr>
          <w:rFonts w:ascii="华文楷体" w:eastAsia="华文楷体" w:hAnsi="华文楷体" w:cs="华文楷体" w:hint="eastAsia"/>
        </w:rPr>
        <w:t>责任编辑：郭一晨</w:t>
      </w:r>
      <w:r>
        <w:rPr>
          <w:rFonts w:ascii="华文楷体" w:eastAsia="华文楷体" w:hAnsi="华文楷体" w:cs="华文楷体" w:hint="eastAsia"/>
        </w:rPr>
        <w:t xml:space="preserve"> SF160</w:t>
      </w:r>
    </w:p>
    <w:p w14:paraId="5C742D48" w14:textId="77777777" w:rsidR="00ED5EBF" w:rsidRDefault="00ED5EBF">
      <w:pPr>
        <w:spacing w:line="360" w:lineRule="auto"/>
        <w:ind w:firstLine="480"/>
        <w:jc w:val="right"/>
        <w:rPr>
          <w:rFonts w:ascii="华文楷体" w:eastAsia="华文楷体" w:hAnsi="华文楷体" w:cs="华文楷体"/>
        </w:rPr>
      </w:pPr>
    </w:p>
    <w:p w14:paraId="6FFA1C03" w14:textId="77777777" w:rsidR="00ED5EBF" w:rsidRDefault="00ED5EBF">
      <w:pPr>
        <w:spacing w:line="360" w:lineRule="auto"/>
        <w:ind w:firstLine="480"/>
        <w:jc w:val="right"/>
        <w:rPr>
          <w:rFonts w:ascii="华文楷体" w:eastAsia="华文楷体" w:hAnsi="华文楷体" w:cs="华文楷体"/>
        </w:rPr>
      </w:pPr>
    </w:p>
    <w:p w14:paraId="69119EC4" w14:textId="77777777" w:rsidR="00ED5EBF" w:rsidRDefault="00ED5EBF">
      <w:pPr>
        <w:spacing w:line="360" w:lineRule="auto"/>
        <w:ind w:firstLine="480"/>
        <w:jc w:val="right"/>
        <w:rPr>
          <w:rFonts w:ascii="华文楷体" w:eastAsia="华文楷体" w:hAnsi="华文楷体" w:cs="华文楷体"/>
        </w:rPr>
      </w:pPr>
    </w:p>
    <w:p w14:paraId="6404B2D2" w14:textId="77777777" w:rsidR="00ED5EBF" w:rsidRDefault="00ED5EBF">
      <w:pPr>
        <w:spacing w:line="360" w:lineRule="auto"/>
        <w:ind w:firstLine="480"/>
        <w:jc w:val="right"/>
        <w:rPr>
          <w:rFonts w:ascii="华文楷体" w:eastAsia="华文楷体" w:hAnsi="华文楷体" w:cs="华文楷体"/>
        </w:rPr>
      </w:pPr>
    </w:p>
    <w:p w14:paraId="234D1887" w14:textId="77777777" w:rsidR="00ED5EBF" w:rsidRDefault="00ED5EBF">
      <w:pPr>
        <w:spacing w:line="360" w:lineRule="auto"/>
        <w:ind w:firstLine="480"/>
        <w:jc w:val="right"/>
        <w:rPr>
          <w:rFonts w:ascii="华文楷体" w:eastAsia="华文楷体" w:hAnsi="华文楷体" w:cs="华文楷体"/>
        </w:rPr>
      </w:pPr>
    </w:p>
    <w:p w14:paraId="5FB2BEA5" w14:textId="77777777" w:rsidR="00ED5EBF" w:rsidRDefault="00ED5EBF">
      <w:pPr>
        <w:spacing w:line="360" w:lineRule="auto"/>
        <w:ind w:firstLine="480"/>
        <w:jc w:val="right"/>
        <w:rPr>
          <w:rFonts w:ascii="华文楷体" w:eastAsia="华文楷体" w:hAnsi="华文楷体" w:cs="华文楷体"/>
        </w:rPr>
      </w:pPr>
    </w:p>
    <w:p w14:paraId="6748A458" w14:textId="77777777" w:rsidR="00ED5EBF" w:rsidRDefault="00ED5EBF">
      <w:pPr>
        <w:spacing w:line="360" w:lineRule="auto"/>
        <w:ind w:firstLine="480"/>
        <w:jc w:val="right"/>
        <w:rPr>
          <w:rFonts w:ascii="华文楷体" w:eastAsia="华文楷体" w:hAnsi="华文楷体" w:cs="华文楷体"/>
        </w:rPr>
      </w:pPr>
    </w:p>
    <w:p w14:paraId="68D5AD17" w14:textId="77777777" w:rsidR="00ED5EBF" w:rsidRDefault="00ED5EBF">
      <w:pPr>
        <w:spacing w:line="360" w:lineRule="auto"/>
        <w:ind w:firstLine="480"/>
        <w:jc w:val="right"/>
        <w:rPr>
          <w:rFonts w:ascii="华文楷体" w:eastAsia="华文楷体" w:hAnsi="华文楷体" w:cs="华文楷体"/>
        </w:rPr>
      </w:pPr>
    </w:p>
    <w:p w14:paraId="685E457D" w14:textId="77777777" w:rsidR="00ED5EBF" w:rsidRDefault="00ED5EBF">
      <w:pPr>
        <w:spacing w:line="360" w:lineRule="auto"/>
        <w:ind w:firstLine="480"/>
        <w:jc w:val="right"/>
        <w:rPr>
          <w:rFonts w:ascii="华文楷体" w:eastAsia="华文楷体" w:hAnsi="华文楷体" w:cs="华文楷体"/>
        </w:rPr>
      </w:pPr>
    </w:p>
    <w:p w14:paraId="039CA91A" w14:textId="77777777" w:rsidR="00ED5EBF" w:rsidRDefault="002034C8">
      <w:pPr>
        <w:spacing w:line="360" w:lineRule="auto"/>
        <w:ind w:firstLine="480"/>
        <w:jc w:val="center"/>
        <w:rPr>
          <w:rFonts w:ascii="华文中宋" w:eastAsia="华文中宋" w:hAnsi="华文中宋" w:cs="华文中宋"/>
          <w:b/>
          <w:bCs/>
        </w:rPr>
      </w:pPr>
      <w:bookmarkStart w:id="22" w:name="陈雨露股权融资市场有很大发展空间"/>
      <w:r>
        <w:rPr>
          <w:rFonts w:ascii="华文中宋" w:eastAsia="华文中宋" w:hAnsi="华文中宋" w:cs="华文中宋" w:hint="eastAsia"/>
          <w:b/>
          <w:bCs/>
        </w:rPr>
        <w:t>陈雨露</w:t>
      </w:r>
      <w:r>
        <w:rPr>
          <w:rFonts w:ascii="华文中宋" w:eastAsia="华文中宋" w:hAnsi="华文中宋" w:cs="华文中宋" w:hint="eastAsia"/>
          <w:b/>
          <w:bCs/>
        </w:rPr>
        <w:t>:</w:t>
      </w:r>
      <w:r>
        <w:rPr>
          <w:rFonts w:ascii="华文中宋" w:eastAsia="华文中宋" w:hAnsi="华文中宋" w:cs="华文中宋" w:hint="eastAsia"/>
          <w:b/>
          <w:bCs/>
        </w:rPr>
        <w:t>股权融资市场有很大发展空间</w:t>
      </w:r>
    </w:p>
    <w:bookmarkEnd w:id="22"/>
    <w:p w14:paraId="2C0FF202" w14:textId="77777777" w:rsidR="00ED5EBF" w:rsidRDefault="002034C8">
      <w:pPr>
        <w:spacing w:line="360" w:lineRule="auto"/>
        <w:ind w:firstLine="480"/>
        <w:jc w:val="center"/>
        <w:rPr>
          <w:rFonts w:ascii="华文楷体" w:eastAsia="华文楷体" w:hAnsi="华文楷体" w:cs="华文楷体"/>
          <w:sz w:val="21"/>
          <w:szCs w:val="21"/>
        </w:rPr>
      </w:pPr>
      <w:r>
        <w:rPr>
          <w:rFonts w:ascii="华文楷体" w:eastAsia="华文楷体" w:hAnsi="华文楷体" w:cs="华文楷体" w:hint="eastAsia"/>
          <w:sz w:val="21"/>
          <w:szCs w:val="21"/>
        </w:rPr>
        <w:t>日期：</w:t>
      </w:r>
      <w:r>
        <w:rPr>
          <w:rFonts w:ascii="华文楷体" w:eastAsia="华文楷体" w:hAnsi="华文楷体" w:cs="华文楷体" w:hint="eastAsia"/>
          <w:sz w:val="21"/>
          <w:szCs w:val="21"/>
        </w:rPr>
        <w:t>2018</w:t>
      </w:r>
      <w:r>
        <w:rPr>
          <w:rFonts w:ascii="华文楷体" w:eastAsia="华文楷体" w:hAnsi="华文楷体" w:cs="华文楷体" w:hint="eastAsia"/>
          <w:sz w:val="21"/>
          <w:szCs w:val="21"/>
        </w:rPr>
        <w:t>年</w:t>
      </w:r>
      <w:r>
        <w:rPr>
          <w:rFonts w:ascii="华文楷体" w:eastAsia="华文楷体" w:hAnsi="华文楷体" w:cs="华文楷体" w:hint="eastAsia"/>
          <w:sz w:val="21"/>
          <w:szCs w:val="21"/>
        </w:rPr>
        <w:t>3</w:t>
      </w:r>
      <w:r>
        <w:rPr>
          <w:rFonts w:ascii="华文楷体" w:eastAsia="华文楷体" w:hAnsi="华文楷体" w:cs="华文楷体" w:hint="eastAsia"/>
          <w:sz w:val="21"/>
          <w:szCs w:val="21"/>
        </w:rPr>
        <w:t>月</w:t>
      </w:r>
      <w:r>
        <w:rPr>
          <w:rFonts w:ascii="华文楷体" w:eastAsia="华文楷体" w:hAnsi="华文楷体" w:cs="华文楷体" w:hint="eastAsia"/>
          <w:sz w:val="21"/>
          <w:szCs w:val="21"/>
        </w:rPr>
        <w:t>13</w:t>
      </w:r>
      <w:r>
        <w:rPr>
          <w:rFonts w:ascii="华文楷体" w:eastAsia="华文楷体" w:hAnsi="华文楷体" w:cs="华文楷体" w:hint="eastAsia"/>
          <w:sz w:val="21"/>
          <w:szCs w:val="21"/>
        </w:rPr>
        <w:t>日</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来源：金融界</w:t>
      </w:r>
    </w:p>
    <w:p w14:paraId="7AC40CF7" w14:textId="77777777" w:rsidR="00ED5EBF" w:rsidRDefault="00ED5EBF">
      <w:pPr>
        <w:spacing w:line="360" w:lineRule="auto"/>
        <w:ind w:firstLine="480"/>
        <w:jc w:val="center"/>
        <w:rPr>
          <w:rFonts w:ascii="华文楷体" w:eastAsia="华文楷体" w:hAnsi="华文楷体" w:cs="华文楷体"/>
          <w:sz w:val="21"/>
          <w:szCs w:val="21"/>
        </w:rPr>
      </w:pPr>
    </w:p>
    <w:p w14:paraId="4E32628E"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全国政协委员、中国人民银行副行长陈雨露</w:t>
      </w:r>
      <w:r>
        <w:rPr>
          <w:rFonts w:ascii="华文楷体" w:eastAsia="华文楷体" w:hAnsi="华文楷体" w:cs="华文楷体" w:hint="eastAsia"/>
        </w:rPr>
        <w:t>12</w:t>
      </w:r>
      <w:r>
        <w:rPr>
          <w:rFonts w:ascii="华文楷体" w:eastAsia="华文楷体" w:hAnsi="华文楷体" w:cs="华文楷体" w:hint="eastAsia"/>
        </w:rPr>
        <w:t>日表示，优化我国宏观融资结构，仍是一个非常急迫和责任重大的任务。直接融资市场的发展，特别是股权融资市场的发展仍有很大空间。</w:t>
      </w:r>
    </w:p>
    <w:p w14:paraId="7DFBC11E" w14:textId="77777777" w:rsidR="00ED5EBF" w:rsidRDefault="00ED5EBF">
      <w:pPr>
        <w:spacing w:line="360" w:lineRule="auto"/>
        <w:ind w:firstLineChars="200" w:firstLine="480"/>
        <w:rPr>
          <w:rFonts w:ascii="华文楷体" w:eastAsia="华文楷体" w:hAnsi="华文楷体" w:cs="华文楷体"/>
        </w:rPr>
      </w:pPr>
    </w:p>
    <w:p w14:paraId="3E2C8C71"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陈雨露表示，服务实体经济是金融部门的天职和本源。金融服务实体经济的高质量发展是新时代的核心使命。高质量发展需要一套新的指标体系、核算体系和绩效评价体系。“对金融服务实体经济来说，也亟需有这样一个更加科学、清晰的指挥棒。”陈雨露说，比如如何根据五大发展理念，结合联合国国民经济核算体系的方向来编制创新发展账户、居民福利账户、环境核算账户以及经过系统性风险调整的金融增加值账户等。</w:t>
      </w:r>
    </w:p>
    <w:p w14:paraId="4E149E4C" w14:textId="77777777" w:rsidR="00ED5EBF" w:rsidRDefault="00ED5EBF">
      <w:pPr>
        <w:spacing w:line="360" w:lineRule="auto"/>
        <w:ind w:firstLineChars="200" w:firstLine="480"/>
        <w:rPr>
          <w:rFonts w:ascii="华文楷体" w:eastAsia="华文楷体" w:hAnsi="华文楷体" w:cs="华文楷体"/>
        </w:rPr>
      </w:pPr>
    </w:p>
    <w:p w14:paraId="08099BE2"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在金融更大力度支持供给侧结构性改革上，陈雨露认为，中国央行是世界大国中唯一的、常态化运用基础货币或常态化动用信贷政策指引来支持供给侧</w:t>
      </w:r>
      <w:r>
        <w:rPr>
          <w:rFonts w:ascii="华文楷体" w:eastAsia="华文楷体" w:hAnsi="华文楷体" w:cs="华文楷体" w:hint="eastAsia"/>
        </w:rPr>
        <w:t>结构性改革的央行。如何做得更加深入和科学，要进一步加强研究和运用。同时，多层次资本市场的建设一定要取得实质性突破。从央行来讲，债券市场过去五年每年发行额的增长速度平均是</w:t>
      </w:r>
      <w:r>
        <w:rPr>
          <w:rFonts w:ascii="华文楷体" w:eastAsia="华文楷体" w:hAnsi="华文楷体" w:cs="华文楷体" w:hint="eastAsia"/>
        </w:rPr>
        <w:t>45.7%</w:t>
      </w:r>
      <w:r>
        <w:rPr>
          <w:rFonts w:ascii="华文楷体" w:eastAsia="华文楷体" w:hAnsi="华文楷体" w:cs="华文楷体" w:hint="eastAsia"/>
        </w:rPr>
        <w:t>。但直接融资市场的发展特别是股权融资市场的发展仍有很大空间。他认为，优化我国的宏观融资结构，仍是一个非常急迫和责任重大的任务。只有它的结构更加合理，才能避免或缓解我国不断出现的宏观债务周期，才能更好地支持我国实体经济的结构性优化和发展。</w:t>
      </w:r>
    </w:p>
    <w:p w14:paraId="73ADF182" w14:textId="77777777" w:rsidR="00ED5EBF" w:rsidRDefault="00ED5EBF">
      <w:pPr>
        <w:spacing w:line="360" w:lineRule="auto"/>
        <w:ind w:firstLineChars="200" w:firstLine="480"/>
        <w:rPr>
          <w:rFonts w:ascii="华文楷体" w:eastAsia="华文楷体" w:hAnsi="华文楷体" w:cs="华文楷体"/>
        </w:rPr>
      </w:pPr>
    </w:p>
    <w:p w14:paraId="73170235"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陈雨露强调</w:t>
      </w:r>
      <w:r>
        <w:rPr>
          <w:rFonts w:ascii="华文楷体" w:eastAsia="华文楷体" w:hAnsi="华文楷体" w:cs="华文楷体" w:hint="eastAsia"/>
        </w:rPr>
        <w:t>:</w:t>
      </w:r>
      <w:r>
        <w:rPr>
          <w:rFonts w:ascii="华文楷体" w:eastAsia="华文楷体" w:hAnsi="华文楷体" w:cs="华文楷体" w:hint="eastAsia"/>
        </w:rPr>
        <w:t>“要坚决守住不发生系统性金融风险的底线，为实体经济创新红利的全面实现赢得时间。这是</w:t>
      </w:r>
      <w:r>
        <w:rPr>
          <w:rFonts w:ascii="华文楷体" w:eastAsia="华文楷体" w:hAnsi="华文楷体" w:cs="华文楷体" w:hint="eastAsia"/>
        </w:rPr>
        <w:t>未来一段时期国家经济治理的一个基本关系。从央行的任务来讲，创造一个稳定适宜、货币稳定和金融稳定的环境，是党的十九大交给央行的一个非常重大的任务。维护住宏观金融稳定的目标需要有一个非常有效的工具，党的十九大也赋予了人民银行‘货币政策</w:t>
      </w:r>
      <w:r>
        <w:rPr>
          <w:rFonts w:ascii="华文楷体" w:eastAsia="华文楷体" w:hAnsi="华文楷体" w:cs="华文楷体" w:hint="eastAsia"/>
        </w:rPr>
        <w:t>+</w:t>
      </w:r>
      <w:r>
        <w:rPr>
          <w:rFonts w:ascii="华文楷体" w:eastAsia="华文楷体" w:hAnsi="华文楷体" w:cs="华文楷体" w:hint="eastAsia"/>
        </w:rPr>
        <w:t>宏观审慎政策’一个新的工具体系来指向该目标。”</w:t>
      </w:r>
    </w:p>
    <w:p w14:paraId="54BCA05E" w14:textId="77777777" w:rsidR="00ED5EBF" w:rsidRDefault="00ED5EBF">
      <w:pPr>
        <w:spacing w:line="360" w:lineRule="auto"/>
        <w:ind w:firstLineChars="200" w:firstLine="480"/>
        <w:rPr>
          <w:rFonts w:ascii="华文楷体" w:eastAsia="华文楷体" w:hAnsi="华文楷体" w:cs="华文楷体"/>
        </w:rPr>
      </w:pPr>
    </w:p>
    <w:p w14:paraId="63610C64"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另外，在深化金融体制改革方面，陈雨露表示，通过扩大开放来实现金融业自身健康性和竞争力的提升，以更好地服务实体经济，这也是极具建设性的。打铁还要自身硬，所以如何通过扩大开放、深化改革来让中国金融业核心竞争力不断提升，更加长远地服务好</w:t>
      </w:r>
      <w:r>
        <w:rPr>
          <w:rFonts w:ascii="华文楷体" w:eastAsia="华文楷体" w:hAnsi="华文楷体" w:cs="华文楷体" w:hint="eastAsia"/>
        </w:rPr>
        <w:t>实体经济，这是一个非常重要的终极任务。</w:t>
      </w:r>
    </w:p>
    <w:p w14:paraId="1D2534CB" w14:textId="77777777" w:rsidR="00ED5EBF" w:rsidRDefault="00ED5EBF">
      <w:pPr>
        <w:spacing w:line="360" w:lineRule="auto"/>
        <w:ind w:firstLineChars="200" w:firstLine="480"/>
        <w:rPr>
          <w:rFonts w:ascii="华文楷体" w:eastAsia="华文楷体" w:hAnsi="华文楷体" w:cs="华文楷体"/>
        </w:rPr>
      </w:pPr>
    </w:p>
    <w:p w14:paraId="376708C4" w14:textId="77777777" w:rsidR="00ED5EBF" w:rsidRDefault="00ED5EBF">
      <w:pPr>
        <w:spacing w:line="360" w:lineRule="auto"/>
        <w:ind w:firstLineChars="200" w:firstLine="480"/>
        <w:rPr>
          <w:rFonts w:ascii="华文楷体" w:eastAsia="华文楷体" w:hAnsi="华文楷体" w:cs="华文楷体"/>
        </w:rPr>
      </w:pPr>
    </w:p>
    <w:p w14:paraId="06C829D0" w14:textId="77777777" w:rsidR="00ED5EBF" w:rsidRDefault="00ED5EBF">
      <w:pPr>
        <w:spacing w:line="360" w:lineRule="auto"/>
        <w:ind w:firstLineChars="200" w:firstLine="480"/>
        <w:rPr>
          <w:rFonts w:ascii="华文楷体" w:eastAsia="华文楷体" w:hAnsi="华文楷体" w:cs="华文楷体"/>
        </w:rPr>
      </w:pPr>
    </w:p>
    <w:p w14:paraId="47F8C589" w14:textId="77777777" w:rsidR="00ED5EBF" w:rsidRDefault="00ED5EBF">
      <w:pPr>
        <w:spacing w:line="360" w:lineRule="auto"/>
        <w:ind w:firstLineChars="200" w:firstLine="480"/>
        <w:rPr>
          <w:rFonts w:ascii="华文楷体" w:eastAsia="华文楷体" w:hAnsi="华文楷体" w:cs="华文楷体"/>
        </w:rPr>
      </w:pPr>
    </w:p>
    <w:p w14:paraId="2DBF02B8" w14:textId="77777777" w:rsidR="00ED5EBF" w:rsidRDefault="00ED5EBF">
      <w:pPr>
        <w:spacing w:line="360" w:lineRule="auto"/>
        <w:ind w:firstLineChars="200" w:firstLine="480"/>
        <w:rPr>
          <w:rFonts w:ascii="华文楷体" w:eastAsia="华文楷体" w:hAnsi="华文楷体" w:cs="华文楷体"/>
        </w:rPr>
      </w:pPr>
    </w:p>
    <w:p w14:paraId="13D8208B" w14:textId="77777777" w:rsidR="00ED5EBF" w:rsidRDefault="00ED5EBF">
      <w:pPr>
        <w:spacing w:line="360" w:lineRule="auto"/>
        <w:ind w:firstLineChars="200" w:firstLine="480"/>
        <w:rPr>
          <w:rFonts w:ascii="华文楷体" w:eastAsia="华文楷体" w:hAnsi="华文楷体" w:cs="华文楷体"/>
        </w:rPr>
      </w:pPr>
    </w:p>
    <w:p w14:paraId="656523D9" w14:textId="77777777" w:rsidR="00ED5EBF" w:rsidRDefault="00ED5EBF">
      <w:pPr>
        <w:spacing w:line="360" w:lineRule="auto"/>
        <w:ind w:firstLineChars="200" w:firstLine="480"/>
        <w:rPr>
          <w:rFonts w:ascii="华文楷体" w:eastAsia="华文楷体" w:hAnsi="华文楷体" w:cs="华文楷体"/>
        </w:rPr>
      </w:pPr>
    </w:p>
    <w:p w14:paraId="741D343D" w14:textId="77777777" w:rsidR="00ED5EBF" w:rsidRDefault="00ED5EBF">
      <w:pPr>
        <w:spacing w:line="360" w:lineRule="auto"/>
        <w:ind w:firstLineChars="200" w:firstLine="480"/>
        <w:rPr>
          <w:rFonts w:ascii="华文楷体" w:eastAsia="华文楷体" w:hAnsi="华文楷体" w:cs="华文楷体"/>
        </w:rPr>
      </w:pPr>
    </w:p>
    <w:p w14:paraId="1F6A0465" w14:textId="77777777" w:rsidR="00ED5EBF" w:rsidRDefault="00ED5EBF">
      <w:pPr>
        <w:spacing w:line="360" w:lineRule="auto"/>
        <w:ind w:firstLineChars="200" w:firstLine="480"/>
        <w:rPr>
          <w:rFonts w:ascii="华文楷体" w:eastAsia="华文楷体" w:hAnsi="华文楷体" w:cs="华文楷体"/>
        </w:rPr>
      </w:pPr>
    </w:p>
    <w:p w14:paraId="41375076" w14:textId="77777777" w:rsidR="00ED5EBF" w:rsidRDefault="00ED5EBF">
      <w:pPr>
        <w:spacing w:line="360" w:lineRule="auto"/>
        <w:ind w:firstLineChars="200" w:firstLine="480"/>
        <w:rPr>
          <w:rFonts w:ascii="华文楷体" w:eastAsia="华文楷体" w:hAnsi="华文楷体" w:cs="华文楷体"/>
        </w:rPr>
      </w:pPr>
    </w:p>
    <w:p w14:paraId="02169A6F" w14:textId="77777777" w:rsidR="00ED5EBF" w:rsidRDefault="00ED5EBF">
      <w:pPr>
        <w:spacing w:line="360" w:lineRule="auto"/>
        <w:ind w:firstLineChars="200" w:firstLine="480"/>
        <w:rPr>
          <w:rFonts w:ascii="华文楷体" w:eastAsia="华文楷体" w:hAnsi="华文楷体" w:cs="华文楷体"/>
        </w:rPr>
      </w:pPr>
    </w:p>
    <w:p w14:paraId="382F4674" w14:textId="77777777" w:rsidR="00ED5EBF" w:rsidRDefault="002034C8">
      <w:pPr>
        <w:spacing w:line="360" w:lineRule="auto"/>
        <w:ind w:firstLineChars="200" w:firstLine="480"/>
        <w:jc w:val="center"/>
        <w:rPr>
          <w:rFonts w:ascii="华文中宋" w:eastAsia="华文中宋" w:hAnsi="华文中宋" w:cs="华文中宋"/>
          <w:b/>
          <w:bCs/>
        </w:rPr>
      </w:pPr>
      <w:bookmarkStart w:id="23" w:name="月份金融市场运行情况"/>
      <w:r>
        <w:rPr>
          <w:rFonts w:ascii="华文中宋" w:eastAsia="华文中宋" w:hAnsi="华文中宋" w:cs="华文中宋" w:hint="eastAsia"/>
          <w:b/>
          <w:bCs/>
        </w:rPr>
        <w:t>2018</w:t>
      </w:r>
      <w:r>
        <w:rPr>
          <w:rFonts w:ascii="华文中宋" w:eastAsia="华文中宋" w:hAnsi="华文中宋" w:cs="华文中宋" w:hint="eastAsia"/>
          <w:b/>
          <w:bCs/>
        </w:rPr>
        <w:t>年</w:t>
      </w:r>
      <w:r>
        <w:rPr>
          <w:rFonts w:ascii="华文中宋" w:eastAsia="华文中宋" w:hAnsi="华文中宋" w:cs="华文中宋" w:hint="eastAsia"/>
          <w:b/>
          <w:bCs/>
        </w:rPr>
        <w:t>2</w:t>
      </w:r>
      <w:r>
        <w:rPr>
          <w:rFonts w:ascii="华文中宋" w:eastAsia="华文中宋" w:hAnsi="华文中宋" w:cs="华文中宋" w:hint="eastAsia"/>
          <w:b/>
          <w:bCs/>
        </w:rPr>
        <w:t>月份金融市场运行情况</w:t>
      </w:r>
    </w:p>
    <w:bookmarkEnd w:id="23"/>
    <w:p w14:paraId="08AE977A" w14:textId="77777777" w:rsidR="00ED5EBF" w:rsidRDefault="002034C8">
      <w:pPr>
        <w:spacing w:line="360" w:lineRule="auto"/>
        <w:ind w:firstLineChars="200" w:firstLine="420"/>
        <w:jc w:val="center"/>
        <w:rPr>
          <w:rFonts w:ascii="华文楷体" w:eastAsia="华文楷体" w:hAnsi="华文楷体" w:cs="华文楷体"/>
          <w:sz w:val="21"/>
          <w:szCs w:val="21"/>
        </w:rPr>
      </w:pPr>
      <w:r>
        <w:rPr>
          <w:rFonts w:ascii="华文楷体" w:eastAsia="华文楷体" w:hAnsi="华文楷体" w:cs="华文楷体" w:hint="eastAsia"/>
          <w:sz w:val="21"/>
          <w:szCs w:val="21"/>
        </w:rPr>
        <w:t>日期：</w:t>
      </w:r>
      <w:r>
        <w:rPr>
          <w:rFonts w:ascii="华文楷体" w:eastAsia="华文楷体" w:hAnsi="华文楷体" w:cs="华文楷体" w:hint="eastAsia"/>
          <w:sz w:val="21"/>
          <w:szCs w:val="21"/>
        </w:rPr>
        <w:t>2018</w:t>
      </w:r>
      <w:r>
        <w:rPr>
          <w:rFonts w:ascii="华文楷体" w:eastAsia="华文楷体" w:hAnsi="华文楷体" w:cs="华文楷体" w:hint="eastAsia"/>
          <w:sz w:val="21"/>
          <w:szCs w:val="21"/>
        </w:rPr>
        <w:t>年</w:t>
      </w:r>
      <w:r>
        <w:rPr>
          <w:rFonts w:ascii="华文楷体" w:eastAsia="华文楷体" w:hAnsi="华文楷体" w:cs="华文楷体" w:hint="eastAsia"/>
          <w:sz w:val="21"/>
          <w:szCs w:val="21"/>
        </w:rPr>
        <w:t>3</w:t>
      </w:r>
      <w:r>
        <w:rPr>
          <w:rFonts w:ascii="华文楷体" w:eastAsia="华文楷体" w:hAnsi="华文楷体" w:cs="华文楷体" w:hint="eastAsia"/>
          <w:sz w:val="21"/>
          <w:szCs w:val="21"/>
        </w:rPr>
        <w:t>月</w:t>
      </w:r>
      <w:r>
        <w:rPr>
          <w:rFonts w:ascii="华文楷体" w:eastAsia="华文楷体" w:hAnsi="华文楷体" w:cs="华文楷体" w:hint="eastAsia"/>
          <w:sz w:val="21"/>
          <w:szCs w:val="21"/>
        </w:rPr>
        <w:t>14</w:t>
      </w:r>
      <w:r>
        <w:rPr>
          <w:rFonts w:ascii="华文楷体" w:eastAsia="华文楷体" w:hAnsi="华文楷体" w:cs="华文楷体" w:hint="eastAsia"/>
          <w:sz w:val="21"/>
          <w:szCs w:val="21"/>
        </w:rPr>
        <w:t>日</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来源：沟通交流、中国人民银行</w:t>
      </w:r>
    </w:p>
    <w:p w14:paraId="2CF5EACE" w14:textId="77777777" w:rsidR="00ED5EBF" w:rsidRDefault="00ED5EBF">
      <w:pPr>
        <w:spacing w:line="360" w:lineRule="auto"/>
        <w:rPr>
          <w:rFonts w:ascii="华文楷体" w:eastAsia="华文楷体" w:hAnsi="华文楷体" w:cs="华文楷体"/>
          <w:b/>
          <w:bCs/>
        </w:rPr>
      </w:pPr>
    </w:p>
    <w:p w14:paraId="713D9F40" w14:textId="77777777" w:rsidR="00ED5EBF" w:rsidRDefault="002034C8">
      <w:pPr>
        <w:spacing w:line="360" w:lineRule="auto"/>
        <w:ind w:firstLineChars="200" w:firstLine="480"/>
        <w:rPr>
          <w:rFonts w:ascii="华文楷体" w:eastAsia="华文楷体" w:hAnsi="华文楷体" w:cs="华文楷体"/>
          <w:b/>
          <w:bCs/>
        </w:rPr>
      </w:pPr>
      <w:r>
        <w:rPr>
          <w:rFonts w:ascii="华文楷体" w:eastAsia="华文楷体" w:hAnsi="华文楷体" w:cs="华文楷体" w:hint="eastAsia"/>
          <w:b/>
          <w:bCs/>
        </w:rPr>
        <w:t>一、债券市场发行情况</w:t>
      </w:r>
      <w:r>
        <w:rPr>
          <w:rFonts w:ascii="华文楷体" w:eastAsia="华文楷体" w:hAnsi="华文楷体" w:cs="华文楷体" w:hint="eastAsia"/>
          <w:b/>
          <w:bCs/>
        </w:rPr>
        <w:t xml:space="preserve"> </w:t>
      </w:r>
    </w:p>
    <w:p w14:paraId="64133FDA"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 xml:space="preserve">2 </w:t>
      </w:r>
      <w:r>
        <w:rPr>
          <w:rFonts w:ascii="华文楷体" w:eastAsia="华文楷体" w:hAnsi="华文楷体" w:cs="华文楷体" w:hint="eastAsia"/>
        </w:rPr>
        <w:t>月份，债券市场共发行各类债券</w:t>
      </w:r>
      <w:r>
        <w:rPr>
          <w:rFonts w:ascii="华文楷体" w:eastAsia="华文楷体" w:hAnsi="华文楷体" w:cs="华文楷体" w:hint="eastAsia"/>
        </w:rPr>
        <w:t xml:space="preserve"> 2.19 </w:t>
      </w:r>
      <w:r>
        <w:rPr>
          <w:rFonts w:ascii="华文楷体" w:eastAsia="华文楷体" w:hAnsi="华文楷体" w:cs="华文楷体" w:hint="eastAsia"/>
        </w:rPr>
        <w:t>万亿元。其中，国债发行</w:t>
      </w:r>
      <w:r>
        <w:rPr>
          <w:rFonts w:ascii="华文楷体" w:eastAsia="华文楷体" w:hAnsi="华文楷体" w:cs="华文楷体" w:hint="eastAsia"/>
        </w:rPr>
        <w:t>1200</w:t>
      </w:r>
      <w:r>
        <w:rPr>
          <w:rFonts w:ascii="华文楷体" w:eastAsia="华文楷体" w:hAnsi="华文楷体" w:cs="华文楷体" w:hint="eastAsia"/>
        </w:rPr>
        <w:t>亿元，地方政府债券发行</w:t>
      </w:r>
      <w:r>
        <w:rPr>
          <w:rFonts w:ascii="华文楷体" w:eastAsia="华文楷体" w:hAnsi="华文楷体" w:cs="华文楷体" w:hint="eastAsia"/>
        </w:rPr>
        <w:t>285.6</w:t>
      </w:r>
      <w:r>
        <w:rPr>
          <w:rFonts w:ascii="华文楷体" w:eastAsia="华文楷体" w:hAnsi="华文楷体" w:cs="华文楷体" w:hint="eastAsia"/>
        </w:rPr>
        <w:t>亿元，金融债券发行</w:t>
      </w:r>
      <w:r>
        <w:rPr>
          <w:rFonts w:ascii="华文楷体" w:eastAsia="华文楷体" w:hAnsi="华文楷体" w:cs="华文楷体" w:hint="eastAsia"/>
        </w:rPr>
        <w:t xml:space="preserve">2302 </w:t>
      </w:r>
      <w:r>
        <w:rPr>
          <w:rFonts w:ascii="华文楷体" w:eastAsia="华文楷体" w:hAnsi="华文楷体" w:cs="华文楷体" w:hint="eastAsia"/>
        </w:rPr>
        <w:t>亿元，公司信用类债券发行</w:t>
      </w:r>
      <w:r>
        <w:rPr>
          <w:rFonts w:ascii="华文楷体" w:eastAsia="华文楷体" w:hAnsi="华文楷体" w:cs="华文楷体" w:hint="eastAsia"/>
        </w:rPr>
        <w:t xml:space="preserve"> 2960 </w:t>
      </w:r>
      <w:r>
        <w:rPr>
          <w:rFonts w:ascii="华文楷体" w:eastAsia="华文楷体" w:hAnsi="华文楷体" w:cs="华文楷体" w:hint="eastAsia"/>
        </w:rPr>
        <w:t>亿元，资产支持证券发行</w:t>
      </w:r>
      <w:r>
        <w:rPr>
          <w:rFonts w:ascii="华文楷体" w:eastAsia="华文楷体" w:hAnsi="华文楷体" w:cs="华文楷体" w:hint="eastAsia"/>
        </w:rPr>
        <w:t xml:space="preserve"> 291.6 </w:t>
      </w:r>
      <w:r>
        <w:rPr>
          <w:rFonts w:ascii="华文楷体" w:eastAsia="华文楷体" w:hAnsi="华文楷体" w:cs="华文楷体" w:hint="eastAsia"/>
        </w:rPr>
        <w:t>亿元，同业存单发行</w:t>
      </w:r>
      <w:r>
        <w:rPr>
          <w:rFonts w:ascii="华文楷体" w:eastAsia="华文楷体" w:hAnsi="华文楷体" w:cs="华文楷体" w:hint="eastAsia"/>
        </w:rPr>
        <w:t xml:space="preserve"> 1.48 </w:t>
      </w:r>
      <w:r>
        <w:rPr>
          <w:rFonts w:ascii="华文楷体" w:eastAsia="华文楷体" w:hAnsi="华文楷体" w:cs="华文楷体" w:hint="eastAsia"/>
        </w:rPr>
        <w:t>万亿元。银行间债券市场共发行各类债券</w:t>
      </w:r>
      <w:r>
        <w:rPr>
          <w:rFonts w:ascii="华文楷体" w:eastAsia="华文楷体" w:hAnsi="华文楷体" w:cs="华文楷体" w:hint="eastAsia"/>
        </w:rPr>
        <w:t xml:space="preserve"> 2.09 </w:t>
      </w:r>
      <w:r>
        <w:rPr>
          <w:rFonts w:ascii="华文楷体" w:eastAsia="华文楷体" w:hAnsi="华文楷体" w:cs="华文楷体" w:hint="eastAsia"/>
        </w:rPr>
        <w:t>万亿元。</w:t>
      </w:r>
      <w:r>
        <w:rPr>
          <w:rFonts w:ascii="华文楷体" w:eastAsia="华文楷体" w:hAnsi="华文楷体" w:cs="华文楷体" w:hint="eastAsia"/>
        </w:rPr>
        <w:t xml:space="preserve"> </w:t>
      </w:r>
    </w:p>
    <w:p w14:paraId="518573B9"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截至</w:t>
      </w:r>
      <w:r>
        <w:rPr>
          <w:rFonts w:ascii="华文楷体" w:eastAsia="华文楷体" w:hAnsi="华文楷体" w:cs="华文楷体" w:hint="eastAsia"/>
        </w:rPr>
        <w:t xml:space="preserve"> 2 </w:t>
      </w:r>
      <w:r>
        <w:rPr>
          <w:rFonts w:ascii="华文楷体" w:eastAsia="华文楷体" w:hAnsi="华文楷体" w:cs="华文楷体" w:hint="eastAsia"/>
        </w:rPr>
        <w:t>月末，债券市场托管余额为</w:t>
      </w:r>
      <w:r>
        <w:rPr>
          <w:rFonts w:ascii="华文楷体" w:eastAsia="华文楷体" w:hAnsi="华文楷体" w:cs="华文楷体" w:hint="eastAsia"/>
        </w:rPr>
        <w:t xml:space="preserve"> 75.56 </w:t>
      </w:r>
      <w:r>
        <w:rPr>
          <w:rFonts w:ascii="华文楷体" w:eastAsia="华文楷体" w:hAnsi="华文楷体" w:cs="华文楷体" w:hint="eastAsia"/>
        </w:rPr>
        <w:t>万亿元。其中，国债托管余额为</w:t>
      </w:r>
      <w:r>
        <w:rPr>
          <w:rFonts w:ascii="华文楷体" w:eastAsia="华文楷体" w:hAnsi="华文楷体" w:cs="华文楷体" w:hint="eastAsia"/>
        </w:rPr>
        <w:t xml:space="preserve"> 12.9 </w:t>
      </w:r>
      <w:r>
        <w:rPr>
          <w:rFonts w:ascii="华文楷体" w:eastAsia="华文楷体" w:hAnsi="华文楷体" w:cs="华文楷体" w:hint="eastAsia"/>
        </w:rPr>
        <w:t>万亿元，地方政府债券托管余额为</w:t>
      </w:r>
      <w:r>
        <w:rPr>
          <w:rFonts w:ascii="华文楷体" w:eastAsia="华文楷体" w:hAnsi="华文楷体" w:cs="华文楷体" w:hint="eastAsia"/>
        </w:rPr>
        <w:t xml:space="preserve"> 14.76 </w:t>
      </w:r>
      <w:r>
        <w:rPr>
          <w:rFonts w:ascii="华文楷体" w:eastAsia="华文楷体" w:hAnsi="华文楷体" w:cs="华文楷体" w:hint="eastAsia"/>
        </w:rPr>
        <w:t>万亿元，金融债券托管余额为</w:t>
      </w:r>
      <w:r>
        <w:rPr>
          <w:rFonts w:ascii="华文楷体" w:eastAsia="华文楷体" w:hAnsi="华文楷体" w:cs="华文楷体" w:hint="eastAsia"/>
        </w:rPr>
        <w:t xml:space="preserve"> 18.89 </w:t>
      </w:r>
      <w:r>
        <w:rPr>
          <w:rFonts w:ascii="华文楷体" w:eastAsia="华文楷体" w:hAnsi="华文楷体" w:cs="华文楷体" w:hint="eastAsia"/>
        </w:rPr>
        <w:t>万亿元，公司信用类债券托管余额为</w:t>
      </w:r>
      <w:r>
        <w:rPr>
          <w:rFonts w:ascii="华文楷体" w:eastAsia="华文楷体" w:hAnsi="华文楷体" w:cs="华文楷体" w:hint="eastAsia"/>
        </w:rPr>
        <w:t xml:space="preserve"> 17.09 </w:t>
      </w:r>
      <w:r>
        <w:rPr>
          <w:rFonts w:ascii="华文楷体" w:eastAsia="华文楷体" w:hAnsi="华文楷体" w:cs="华文楷体" w:hint="eastAsia"/>
        </w:rPr>
        <w:t>万亿元，资产支持证券托管余额为</w:t>
      </w:r>
      <w:r>
        <w:rPr>
          <w:rFonts w:ascii="华文楷体" w:eastAsia="华文楷体" w:hAnsi="华文楷体" w:cs="华文楷体" w:hint="eastAsia"/>
        </w:rPr>
        <w:t xml:space="preserve"> 1.92 </w:t>
      </w:r>
      <w:r>
        <w:rPr>
          <w:rFonts w:ascii="华文楷体" w:eastAsia="华文楷体" w:hAnsi="华文楷体" w:cs="华文楷体" w:hint="eastAsia"/>
        </w:rPr>
        <w:t>万亿元，同业存单托管余额为</w:t>
      </w:r>
      <w:r>
        <w:rPr>
          <w:rFonts w:ascii="华文楷体" w:eastAsia="华文楷体" w:hAnsi="华文楷体" w:cs="华文楷体" w:hint="eastAsia"/>
        </w:rPr>
        <w:t xml:space="preserve"> 8.24 </w:t>
      </w:r>
      <w:r>
        <w:rPr>
          <w:rFonts w:ascii="华文楷体" w:eastAsia="华文楷体" w:hAnsi="华文楷体" w:cs="华文楷体" w:hint="eastAsia"/>
        </w:rPr>
        <w:t>万亿元。银行间债券市场托管余额为</w:t>
      </w:r>
      <w:r>
        <w:rPr>
          <w:rFonts w:ascii="华文楷体" w:eastAsia="华文楷体" w:hAnsi="华文楷体" w:cs="华文楷体" w:hint="eastAsia"/>
        </w:rPr>
        <w:t xml:space="preserve"> 65.9 </w:t>
      </w:r>
      <w:r>
        <w:rPr>
          <w:rFonts w:ascii="华文楷体" w:eastAsia="华文楷体" w:hAnsi="华文楷体" w:cs="华文楷体" w:hint="eastAsia"/>
        </w:rPr>
        <w:t>万亿元。</w:t>
      </w:r>
      <w:r>
        <w:rPr>
          <w:rFonts w:ascii="华文楷体" w:eastAsia="华文楷体" w:hAnsi="华文楷体" w:cs="华文楷体" w:hint="eastAsia"/>
        </w:rPr>
        <w:t xml:space="preserve"> </w:t>
      </w:r>
    </w:p>
    <w:p w14:paraId="07B55EC5"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 xml:space="preserve">2 </w:t>
      </w:r>
      <w:r>
        <w:rPr>
          <w:rFonts w:ascii="华文楷体" w:eastAsia="华文楷体" w:hAnsi="华文楷体" w:cs="华文楷体" w:hint="eastAsia"/>
        </w:rPr>
        <w:t>月末，银行间债券市场公司信用类债券持有者</w:t>
      </w:r>
      <w:r>
        <w:rPr>
          <w:rFonts w:ascii="华文楷体" w:eastAsia="华文楷体" w:hAnsi="华文楷体" w:cs="华文楷体" w:hint="eastAsia"/>
        </w:rPr>
        <w:t>1</w:t>
      </w:r>
      <w:r>
        <w:rPr>
          <w:rFonts w:ascii="华文楷体" w:eastAsia="华文楷体" w:hAnsi="华文楷体" w:cs="华文楷体" w:hint="eastAsia"/>
        </w:rPr>
        <w:t>中，存款类金融机构持有债券占比为</w:t>
      </w:r>
      <w:r>
        <w:rPr>
          <w:rFonts w:ascii="华文楷体" w:eastAsia="华文楷体" w:hAnsi="华文楷体" w:cs="华文楷体" w:hint="eastAsia"/>
        </w:rPr>
        <w:t xml:space="preserve"> 21.73%</w:t>
      </w:r>
      <w:r>
        <w:rPr>
          <w:rFonts w:ascii="华文楷体" w:eastAsia="华文楷体" w:hAnsi="华文楷体" w:cs="华文楷体" w:hint="eastAsia"/>
        </w:rPr>
        <w:t>，较上年末上升</w:t>
      </w:r>
      <w:r>
        <w:rPr>
          <w:rFonts w:ascii="华文楷体" w:eastAsia="华文楷体" w:hAnsi="华文楷体" w:cs="华文楷体" w:hint="eastAsia"/>
        </w:rPr>
        <w:t xml:space="preserve"> 0.05 </w:t>
      </w:r>
      <w:r>
        <w:rPr>
          <w:rFonts w:ascii="华文楷体" w:eastAsia="华文楷体" w:hAnsi="华文楷体" w:cs="华文楷体" w:hint="eastAsia"/>
        </w:rPr>
        <w:t>个百分点，非存款类金融机构持有债券占比为</w:t>
      </w:r>
      <w:r>
        <w:rPr>
          <w:rFonts w:ascii="华文楷体" w:eastAsia="华文楷体" w:hAnsi="华文楷体" w:cs="华文楷体" w:hint="eastAsia"/>
        </w:rPr>
        <w:t xml:space="preserve"> 7.44%</w:t>
      </w:r>
      <w:r>
        <w:rPr>
          <w:rFonts w:ascii="华文楷体" w:eastAsia="华文楷体" w:hAnsi="华文楷体" w:cs="华文楷体" w:hint="eastAsia"/>
        </w:rPr>
        <w:t>，较上年末上升</w:t>
      </w:r>
      <w:r>
        <w:rPr>
          <w:rFonts w:ascii="华文楷体" w:eastAsia="华文楷体" w:hAnsi="华文楷体" w:cs="华文楷体" w:hint="eastAsia"/>
        </w:rPr>
        <w:t xml:space="preserve"> 0.30 </w:t>
      </w:r>
      <w:r>
        <w:rPr>
          <w:rFonts w:ascii="华文楷体" w:eastAsia="华文楷体" w:hAnsi="华文楷体" w:cs="华文楷体" w:hint="eastAsia"/>
        </w:rPr>
        <w:t>个百分点，非法人机构投资者和其他类投资者的持有债券占比共为</w:t>
      </w:r>
      <w:r>
        <w:rPr>
          <w:rFonts w:ascii="华文楷体" w:eastAsia="华文楷体" w:hAnsi="华文楷体" w:cs="华文楷体" w:hint="eastAsia"/>
        </w:rPr>
        <w:t xml:space="preserve"> 70.83%</w:t>
      </w:r>
      <w:r>
        <w:rPr>
          <w:rFonts w:ascii="华文楷体" w:eastAsia="华文楷体" w:hAnsi="华文楷体" w:cs="华文楷体" w:hint="eastAsia"/>
        </w:rPr>
        <w:t>，较上年末下降</w:t>
      </w:r>
      <w:r>
        <w:rPr>
          <w:rFonts w:ascii="华文楷体" w:eastAsia="华文楷体" w:hAnsi="华文楷体" w:cs="华文楷体" w:hint="eastAsia"/>
        </w:rPr>
        <w:t xml:space="preserve"> 0.35 </w:t>
      </w:r>
      <w:r>
        <w:rPr>
          <w:rFonts w:ascii="华文楷体" w:eastAsia="华文楷体" w:hAnsi="华文楷体" w:cs="华文楷体" w:hint="eastAsia"/>
        </w:rPr>
        <w:t>个百分点。</w:t>
      </w:r>
      <w:r>
        <w:rPr>
          <w:rFonts w:ascii="华文楷体" w:eastAsia="华文楷体" w:hAnsi="华文楷体" w:cs="华文楷体" w:hint="eastAsia"/>
        </w:rPr>
        <w:t xml:space="preserve">2 </w:t>
      </w:r>
      <w:r>
        <w:rPr>
          <w:rFonts w:ascii="华文楷体" w:eastAsia="华文楷体" w:hAnsi="华文楷体" w:cs="华文楷体" w:hint="eastAsia"/>
        </w:rPr>
        <w:t>月末，从银行间债券市场全部债券持有者结构</w:t>
      </w:r>
      <w:r>
        <w:rPr>
          <w:rFonts w:ascii="华文楷体" w:eastAsia="华文楷体" w:hAnsi="华文楷体" w:cs="华文楷体" w:hint="eastAsia"/>
        </w:rPr>
        <w:t>2</w:t>
      </w:r>
      <w:r>
        <w:rPr>
          <w:rFonts w:ascii="华文楷体" w:eastAsia="华文楷体" w:hAnsi="华文楷体" w:cs="华文楷体" w:hint="eastAsia"/>
        </w:rPr>
        <w:t>看，存款类金融机构、非存款类金融机构、非法人机构投资者与其他类投资者的持有债券占比分别为</w:t>
      </w:r>
      <w:r>
        <w:rPr>
          <w:rFonts w:ascii="华文楷体" w:eastAsia="华文楷体" w:hAnsi="华文楷体" w:cs="华文楷体" w:hint="eastAsia"/>
        </w:rPr>
        <w:t>58.2%</w:t>
      </w:r>
      <w:r>
        <w:rPr>
          <w:rFonts w:ascii="华文楷体" w:eastAsia="华文楷体" w:hAnsi="华文楷体" w:cs="华文楷体" w:hint="eastAsia"/>
        </w:rPr>
        <w:t>、</w:t>
      </w:r>
      <w:r>
        <w:rPr>
          <w:rFonts w:ascii="华文楷体" w:eastAsia="华文楷体" w:hAnsi="华文楷体" w:cs="华文楷体" w:hint="eastAsia"/>
        </w:rPr>
        <w:t>4.7%</w:t>
      </w:r>
      <w:r>
        <w:rPr>
          <w:rFonts w:ascii="华文楷体" w:eastAsia="华文楷体" w:hAnsi="华文楷体" w:cs="华文楷体" w:hint="eastAsia"/>
        </w:rPr>
        <w:t>和</w:t>
      </w:r>
      <w:r>
        <w:rPr>
          <w:rFonts w:ascii="华文楷体" w:eastAsia="华文楷体" w:hAnsi="华文楷体" w:cs="华文楷体" w:hint="eastAsia"/>
        </w:rPr>
        <w:t xml:space="preserve"> 37.1%</w:t>
      </w:r>
      <w:r>
        <w:rPr>
          <w:rFonts w:ascii="华文楷体" w:eastAsia="华文楷体" w:hAnsi="华文楷体" w:cs="华文楷体" w:hint="eastAsia"/>
        </w:rPr>
        <w:t>。</w:t>
      </w:r>
      <w:r>
        <w:rPr>
          <w:rFonts w:ascii="华文楷体" w:eastAsia="华文楷体" w:hAnsi="华文楷体" w:cs="华文楷体" w:hint="eastAsia"/>
        </w:rPr>
        <w:t xml:space="preserve"> </w:t>
      </w:r>
    </w:p>
    <w:p w14:paraId="540167E2" w14:textId="77777777" w:rsidR="00ED5EBF" w:rsidRDefault="002034C8">
      <w:pPr>
        <w:spacing w:line="360" w:lineRule="auto"/>
        <w:ind w:firstLineChars="200" w:firstLine="480"/>
        <w:rPr>
          <w:rFonts w:ascii="华文楷体" w:eastAsia="华文楷体" w:hAnsi="华文楷体" w:cs="华文楷体"/>
          <w:b/>
          <w:bCs/>
        </w:rPr>
      </w:pPr>
      <w:r>
        <w:rPr>
          <w:rFonts w:ascii="华文楷体" w:eastAsia="华文楷体" w:hAnsi="华文楷体" w:cs="华文楷体" w:hint="eastAsia"/>
          <w:b/>
          <w:bCs/>
        </w:rPr>
        <w:t>二、货币市场运行情况</w:t>
      </w:r>
      <w:r>
        <w:rPr>
          <w:rFonts w:ascii="华文楷体" w:eastAsia="华文楷体" w:hAnsi="华文楷体" w:cs="华文楷体" w:hint="eastAsia"/>
          <w:b/>
          <w:bCs/>
        </w:rPr>
        <w:t xml:space="preserve"> </w:t>
      </w:r>
    </w:p>
    <w:p w14:paraId="54FB2B68"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 xml:space="preserve">2 </w:t>
      </w:r>
      <w:r>
        <w:rPr>
          <w:rFonts w:ascii="华文楷体" w:eastAsia="华文楷体" w:hAnsi="华文楷体" w:cs="华文楷体" w:hint="eastAsia"/>
        </w:rPr>
        <w:t>月份，银行间货币市场成交共计</w:t>
      </w:r>
      <w:r>
        <w:rPr>
          <w:rFonts w:ascii="华文楷体" w:eastAsia="华文楷体" w:hAnsi="华文楷体" w:cs="华文楷体" w:hint="eastAsia"/>
        </w:rPr>
        <w:t xml:space="preserve"> 50.07 </w:t>
      </w:r>
      <w:r>
        <w:rPr>
          <w:rFonts w:ascii="华文楷体" w:eastAsia="华文楷体" w:hAnsi="华文楷体" w:cs="华文楷体" w:hint="eastAsia"/>
        </w:rPr>
        <w:t>万亿元，同比增多</w:t>
      </w:r>
      <w:r>
        <w:rPr>
          <w:rFonts w:ascii="华文楷体" w:eastAsia="华文楷体" w:hAnsi="华文楷体" w:cs="华文楷体" w:hint="eastAsia"/>
        </w:rPr>
        <w:t>13.08%</w:t>
      </w:r>
      <w:r>
        <w:rPr>
          <w:rFonts w:ascii="华文楷体" w:eastAsia="华文楷体" w:hAnsi="华文楷体" w:cs="华文楷体" w:hint="eastAsia"/>
        </w:rPr>
        <w:t>，环比减少</w:t>
      </w:r>
      <w:r>
        <w:rPr>
          <w:rFonts w:ascii="华文楷体" w:eastAsia="华文楷体" w:hAnsi="华文楷体" w:cs="华文楷体" w:hint="eastAsia"/>
        </w:rPr>
        <w:t xml:space="preserve"> 29.43%</w:t>
      </w:r>
      <w:r>
        <w:rPr>
          <w:rFonts w:ascii="华文楷体" w:eastAsia="华文楷体" w:hAnsi="华文楷体" w:cs="华文楷体" w:hint="eastAsia"/>
        </w:rPr>
        <w:t>。其中，质押式回购成交</w:t>
      </w:r>
      <w:r>
        <w:rPr>
          <w:rFonts w:ascii="华文楷体" w:eastAsia="华文楷体" w:hAnsi="华文楷体" w:cs="华文楷体" w:hint="eastAsia"/>
        </w:rPr>
        <w:t xml:space="preserve"> 40.45 </w:t>
      </w:r>
      <w:r>
        <w:rPr>
          <w:rFonts w:ascii="华文楷体" w:eastAsia="华文楷体" w:hAnsi="华文楷体" w:cs="华文楷体" w:hint="eastAsia"/>
        </w:rPr>
        <w:t>万亿元，同比增多</w:t>
      </w:r>
      <w:r>
        <w:rPr>
          <w:rFonts w:ascii="华文楷体" w:eastAsia="华文楷体" w:hAnsi="华文楷体" w:cs="华文楷体" w:hint="eastAsia"/>
        </w:rPr>
        <w:t xml:space="preserve"> 12.98%</w:t>
      </w:r>
      <w:r>
        <w:rPr>
          <w:rFonts w:ascii="华文楷体" w:eastAsia="华文楷体" w:hAnsi="华文楷体" w:cs="华文楷体" w:hint="eastAsia"/>
        </w:rPr>
        <w:t>，环</w:t>
      </w:r>
      <w:r>
        <w:rPr>
          <w:rFonts w:ascii="华文楷体" w:eastAsia="华文楷体" w:hAnsi="华文楷体" w:cs="华文楷体" w:hint="eastAsia"/>
        </w:rPr>
        <w:t>比减少</w:t>
      </w:r>
      <w:r>
        <w:rPr>
          <w:rFonts w:ascii="华文楷体" w:eastAsia="华文楷体" w:hAnsi="华文楷体" w:cs="华文楷体" w:hint="eastAsia"/>
        </w:rPr>
        <w:t xml:space="preserve"> 30.03%</w:t>
      </w:r>
      <w:r>
        <w:rPr>
          <w:rFonts w:ascii="华文楷体" w:eastAsia="华文楷体" w:hAnsi="华文楷体" w:cs="华文楷体" w:hint="eastAsia"/>
        </w:rPr>
        <w:t>；买断式回购成交</w:t>
      </w:r>
      <w:r>
        <w:rPr>
          <w:rFonts w:ascii="华文楷体" w:eastAsia="华文楷体" w:hAnsi="华文楷体" w:cs="华文楷体" w:hint="eastAsia"/>
        </w:rPr>
        <w:t xml:space="preserve"> 1.15 </w:t>
      </w:r>
      <w:r>
        <w:rPr>
          <w:rFonts w:ascii="华文楷体" w:eastAsia="华文楷体" w:hAnsi="华文楷体" w:cs="华文楷体" w:hint="eastAsia"/>
        </w:rPr>
        <w:t>万亿元，同比减少</w:t>
      </w:r>
      <w:r>
        <w:rPr>
          <w:rFonts w:ascii="华文楷体" w:eastAsia="华文楷体" w:hAnsi="华文楷体" w:cs="华文楷体" w:hint="eastAsia"/>
        </w:rPr>
        <w:t xml:space="preserve"> 22.50%</w:t>
      </w:r>
      <w:r>
        <w:rPr>
          <w:rFonts w:ascii="华文楷体" w:eastAsia="华文楷体" w:hAnsi="华文楷体" w:cs="华文楷体" w:hint="eastAsia"/>
        </w:rPr>
        <w:t>，环比减少</w:t>
      </w:r>
      <w:r>
        <w:rPr>
          <w:rFonts w:ascii="华文楷体" w:eastAsia="华文楷体" w:hAnsi="华文楷体" w:cs="华文楷体" w:hint="eastAsia"/>
        </w:rPr>
        <w:t xml:space="preserve"> 54.11%</w:t>
      </w:r>
      <w:r>
        <w:rPr>
          <w:rFonts w:ascii="华文楷体" w:eastAsia="华文楷体" w:hAnsi="华文楷体" w:cs="华文楷体" w:hint="eastAsia"/>
        </w:rPr>
        <w:t>；同业拆借成交</w:t>
      </w:r>
      <w:r>
        <w:rPr>
          <w:rFonts w:ascii="华文楷体" w:eastAsia="华文楷体" w:hAnsi="华文楷体" w:cs="华文楷体" w:hint="eastAsia"/>
        </w:rPr>
        <w:t xml:space="preserve"> 8.47 </w:t>
      </w:r>
      <w:r>
        <w:rPr>
          <w:rFonts w:ascii="华文楷体" w:eastAsia="华文楷体" w:hAnsi="华文楷体" w:cs="华文楷体" w:hint="eastAsia"/>
        </w:rPr>
        <w:t>万亿元，同比增多</w:t>
      </w:r>
      <w:r>
        <w:rPr>
          <w:rFonts w:ascii="华文楷体" w:eastAsia="华文楷体" w:hAnsi="华文楷体" w:cs="华文楷体" w:hint="eastAsia"/>
        </w:rPr>
        <w:t xml:space="preserve"> 21.18%</w:t>
      </w:r>
      <w:r>
        <w:rPr>
          <w:rFonts w:ascii="华文楷体" w:eastAsia="华文楷体" w:hAnsi="华文楷体" w:cs="华文楷体" w:hint="eastAsia"/>
        </w:rPr>
        <w:t>，环比减少</w:t>
      </w:r>
      <w:r>
        <w:rPr>
          <w:rFonts w:ascii="华文楷体" w:eastAsia="华文楷体" w:hAnsi="华文楷体" w:cs="华文楷体" w:hint="eastAsia"/>
        </w:rPr>
        <w:t xml:space="preserve"> 20.30%</w:t>
      </w:r>
      <w:r>
        <w:rPr>
          <w:rFonts w:ascii="华文楷体" w:eastAsia="华文楷体" w:hAnsi="华文楷体" w:cs="华文楷体" w:hint="eastAsia"/>
        </w:rPr>
        <w:t>。</w:t>
      </w:r>
      <w:r>
        <w:rPr>
          <w:rFonts w:ascii="华文楷体" w:eastAsia="华文楷体" w:hAnsi="华文楷体" w:cs="华文楷体" w:hint="eastAsia"/>
        </w:rPr>
        <w:t xml:space="preserve">  </w:t>
      </w:r>
    </w:p>
    <w:p w14:paraId="42BD1A9C"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 xml:space="preserve">2 </w:t>
      </w:r>
      <w:r>
        <w:rPr>
          <w:rFonts w:ascii="华文楷体" w:eastAsia="华文楷体" w:hAnsi="华文楷体" w:cs="华文楷体" w:hint="eastAsia"/>
        </w:rPr>
        <w:t>月份，同业拆借月加权平均利率为</w:t>
      </w:r>
      <w:r>
        <w:rPr>
          <w:rFonts w:ascii="华文楷体" w:eastAsia="华文楷体" w:hAnsi="华文楷体" w:cs="华文楷体" w:hint="eastAsia"/>
        </w:rPr>
        <w:t xml:space="preserve"> 2.73%</w:t>
      </w:r>
      <w:r>
        <w:rPr>
          <w:rFonts w:ascii="华文楷体" w:eastAsia="华文楷体" w:hAnsi="华文楷体" w:cs="华文楷体" w:hint="eastAsia"/>
        </w:rPr>
        <w:t>，较上月下行</w:t>
      </w:r>
      <w:r>
        <w:rPr>
          <w:rFonts w:ascii="华文楷体" w:eastAsia="华文楷体" w:hAnsi="华文楷体" w:cs="华文楷体" w:hint="eastAsia"/>
        </w:rPr>
        <w:t xml:space="preserve"> 5 </w:t>
      </w:r>
      <w:r>
        <w:rPr>
          <w:rFonts w:ascii="华文楷体" w:eastAsia="华文楷体" w:hAnsi="华文楷体" w:cs="华文楷体" w:hint="eastAsia"/>
        </w:rPr>
        <w:t>个基点；质押式回购月加权平均利率为</w:t>
      </w:r>
      <w:r>
        <w:rPr>
          <w:rFonts w:ascii="华文楷体" w:eastAsia="华文楷体" w:hAnsi="华文楷体" w:cs="华文楷体" w:hint="eastAsia"/>
        </w:rPr>
        <w:t xml:space="preserve"> 2.87%</w:t>
      </w:r>
      <w:r>
        <w:rPr>
          <w:rFonts w:ascii="华文楷体" w:eastAsia="华文楷体" w:hAnsi="华文楷体" w:cs="华文楷体" w:hint="eastAsia"/>
        </w:rPr>
        <w:t>，较上月下行</w:t>
      </w:r>
      <w:r>
        <w:rPr>
          <w:rFonts w:ascii="华文楷体" w:eastAsia="华文楷体" w:hAnsi="华文楷体" w:cs="华文楷体" w:hint="eastAsia"/>
        </w:rPr>
        <w:t xml:space="preserve"> 1 </w:t>
      </w:r>
      <w:r>
        <w:rPr>
          <w:rFonts w:ascii="华文楷体" w:eastAsia="华文楷体" w:hAnsi="华文楷体" w:cs="华文楷体" w:hint="eastAsia"/>
        </w:rPr>
        <w:t>个基点。</w:t>
      </w:r>
      <w:r>
        <w:rPr>
          <w:rFonts w:ascii="华文楷体" w:eastAsia="华文楷体" w:hAnsi="华文楷体" w:cs="华文楷体" w:hint="eastAsia"/>
        </w:rPr>
        <w:t xml:space="preserve"> </w:t>
      </w:r>
    </w:p>
    <w:p w14:paraId="6BB2A6BD" w14:textId="77777777" w:rsidR="00ED5EBF" w:rsidRDefault="002034C8">
      <w:pPr>
        <w:spacing w:line="360" w:lineRule="auto"/>
        <w:ind w:firstLineChars="200" w:firstLine="480"/>
        <w:rPr>
          <w:rFonts w:ascii="华文楷体" w:eastAsia="华文楷体" w:hAnsi="华文楷体" w:cs="华文楷体"/>
          <w:b/>
          <w:bCs/>
        </w:rPr>
      </w:pPr>
      <w:r>
        <w:rPr>
          <w:rFonts w:ascii="华文楷体" w:eastAsia="华文楷体" w:hAnsi="华文楷体" w:cs="华文楷体" w:hint="eastAsia"/>
          <w:b/>
          <w:bCs/>
        </w:rPr>
        <w:t>三、债券市场运行情况</w:t>
      </w:r>
      <w:r>
        <w:rPr>
          <w:rFonts w:ascii="华文楷体" w:eastAsia="华文楷体" w:hAnsi="华文楷体" w:cs="华文楷体" w:hint="eastAsia"/>
          <w:b/>
          <w:bCs/>
        </w:rPr>
        <w:t xml:space="preserve"> </w:t>
      </w:r>
    </w:p>
    <w:p w14:paraId="3FB39938"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 xml:space="preserve">2 </w:t>
      </w:r>
      <w:r>
        <w:rPr>
          <w:rFonts w:ascii="华文楷体" w:eastAsia="华文楷体" w:hAnsi="华文楷体" w:cs="华文楷体" w:hint="eastAsia"/>
        </w:rPr>
        <w:t>月份，银行间债券市场现券成交</w:t>
      </w:r>
      <w:r>
        <w:rPr>
          <w:rFonts w:ascii="华文楷体" w:eastAsia="华文楷体" w:hAnsi="华文楷体" w:cs="华文楷体" w:hint="eastAsia"/>
        </w:rPr>
        <w:t xml:space="preserve"> 5.34 </w:t>
      </w:r>
      <w:r>
        <w:rPr>
          <w:rFonts w:ascii="华文楷体" w:eastAsia="华文楷体" w:hAnsi="华文楷体" w:cs="华文楷体" w:hint="eastAsia"/>
        </w:rPr>
        <w:t>万亿元，日均成交</w:t>
      </w:r>
      <w:r>
        <w:rPr>
          <w:rFonts w:ascii="华文楷体" w:eastAsia="华文楷体" w:hAnsi="华文楷体" w:cs="华文楷体" w:hint="eastAsia"/>
        </w:rPr>
        <w:t xml:space="preserve"> 3142.8 </w:t>
      </w:r>
      <w:r>
        <w:rPr>
          <w:rFonts w:ascii="华文楷体" w:eastAsia="华文楷体" w:hAnsi="华文楷体" w:cs="华文楷体" w:hint="eastAsia"/>
        </w:rPr>
        <w:t>亿元，同比减少</w:t>
      </w:r>
      <w:r>
        <w:rPr>
          <w:rFonts w:ascii="华文楷体" w:eastAsia="华文楷体" w:hAnsi="华文楷体" w:cs="华文楷体" w:hint="eastAsia"/>
        </w:rPr>
        <w:t xml:space="preserve"> 6.51%</w:t>
      </w:r>
      <w:r>
        <w:rPr>
          <w:rFonts w:ascii="华文楷体" w:eastAsia="华文楷体" w:hAnsi="华文楷体" w:cs="华文楷体" w:hint="eastAsia"/>
        </w:rPr>
        <w:t>，环比减少</w:t>
      </w:r>
      <w:r>
        <w:rPr>
          <w:rFonts w:ascii="华文楷体" w:eastAsia="华文楷体" w:hAnsi="华文楷体" w:cs="华文楷体" w:hint="eastAsia"/>
        </w:rPr>
        <w:t xml:space="preserve"> 25.20%</w:t>
      </w:r>
      <w:r>
        <w:rPr>
          <w:rFonts w:ascii="华文楷体" w:eastAsia="华文楷体" w:hAnsi="华文楷体" w:cs="华文楷体" w:hint="eastAsia"/>
        </w:rPr>
        <w:t>。交易所债券市场现券成交</w:t>
      </w:r>
      <w:r>
        <w:rPr>
          <w:rFonts w:ascii="华文楷体" w:eastAsia="华文楷体" w:hAnsi="华文楷体" w:cs="华文楷体" w:hint="eastAsia"/>
        </w:rPr>
        <w:t xml:space="preserve"> 330</w:t>
      </w:r>
      <w:r>
        <w:rPr>
          <w:rFonts w:ascii="华文楷体" w:eastAsia="华文楷体" w:hAnsi="华文楷体" w:cs="华文楷体" w:hint="eastAsia"/>
        </w:rPr>
        <w:t xml:space="preserve">6.66 </w:t>
      </w:r>
      <w:r>
        <w:rPr>
          <w:rFonts w:ascii="华文楷体" w:eastAsia="华文楷体" w:hAnsi="华文楷体" w:cs="华文楷体" w:hint="eastAsia"/>
        </w:rPr>
        <w:t>亿元，日均成交</w:t>
      </w:r>
      <w:r>
        <w:rPr>
          <w:rFonts w:ascii="华文楷体" w:eastAsia="华文楷体" w:hAnsi="华文楷体" w:cs="华文楷体" w:hint="eastAsia"/>
        </w:rPr>
        <w:t xml:space="preserve"> 220.4 </w:t>
      </w:r>
      <w:r>
        <w:rPr>
          <w:rFonts w:ascii="华文楷体" w:eastAsia="华文楷体" w:hAnsi="华文楷体" w:cs="华文楷体" w:hint="eastAsia"/>
        </w:rPr>
        <w:t>亿元，同比增长</w:t>
      </w:r>
      <w:r>
        <w:rPr>
          <w:rFonts w:ascii="华文楷体" w:eastAsia="华文楷体" w:hAnsi="华文楷体" w:cs="华文楷体" w:hint="eastAsia"/>
        </w:rPr>
        <w:t xml:space="preserve"> 8.49%</w:t>
      </w:r>
      <w:r>
        <w:rPr>
          <w:rFonts w:ascii="华文楷体" w:eastAsia="华文楷体" w:hAnsi="华文楷体" w:cs="华文楷体" w:hint="eastAsia"/>
        </w:rPr>
        <w:t>，环比下降</w:t>
      </w:r>
      <w:r>
        <w:rPr>
          <w:rFonts w:ascii="华文楷体" w:eastAsia="华文楷体" w:hAnsi="华文楷体" w:cs="华文楷体" w:hint="eastAsia"/>
        </w:rPr>
        <w:t xml:space="preserve"> 9.17%</w:t>
      </w:r>
      <w:r>
        <w:rPr>
          <w:rFonts w:ascii="华文楷体" w:eastAsia="华文楷体" w:hAnsi="华文楷体" w:cs="华文楷体" w:hint="eastAsia"/>
        </w:rPr>
        <w:t>。</w:t>
      </w:r>
      <w:r>
        <w:rPr>
          <w:rFonts w:ascii="华文楷体" w:eastAsia="华文楷体" w:hAnsi="华文楷体" w:cs="华文楷体" w:hint="eastAsia"/>
        </w:rPr>
        <w:t xml:space="preserve">2 </w:t>
      </w:r>
      <w:r>
        <w:rPr>
          <w:rFonts w:ascii="华文楷体" w:eastAsia="华文楷体" w:hAnsi="华文楷体" w:cs="华文楷体" w:hint="eastAsia"/>
        </w:rPr>
        <w:t>月末，银行间债券总指数为</w:t>
      </w:r>
      <w:r>
        <w:rPr>
          <w:rFonts w:ascii="华文楷体" w:eastAsia="华文楷体" w:hAnsi="华文楷体" w:cs="华文楷体" w:hint="eastAsia"/>
        </w:rPr>
        <w:t xml:space="preserve"> 176.67 </w:t>
      </w:r>
      <w:r>
        <w:rPr>
          <w:rFonts w:ascii="华文楷体" w:eastAsia="华文楷体" w:hAnsi="华文楷体" w:cs="华文楷体" w:hint="eastAsia"/>
        </w:rPr>
        <w:t>点，较上月末上涨</w:t>
      </w:r>
      <w:r>
        <w:rPr>
          <w:rFonts w:ascii="华文楷体" w:eastAsia="华文楷体" w:hAnsi="华文楷体" w:cs="华文楷体" w:hint="eastAsia"/>
        </w:rPr>
        <w:t xml:space="preserve"> 1.39 </w:t>
      </w:r>
      <w:r>
        <w:rPr>
          <w:rFonts w:ascii="华文楷体" w:eastAsia="华文楷体" w:hAnsi="华文楷体" w:cs="华文楷体" w:hint="eastAsia"/>
        </w:rPr>
        <w:t>点。</w:t>
      </w:r>
      <w:r>
        <w:rPr>
          <w:rFonts w:ascii="华文楷体" w:eastAsia="华文楷体" w:hAnsi="华文楷体" w:cs="华文楷体" w:hint="eastAsia"/>
        </w:rPr>
        <w:t xml:space="preserve"> </w:t>
      </w:r>
    </w:p>
    <w:p w14:paraId="6809DD39" w14:textId="77777777" w:rsidR="00ED5EBF" w:rsidRDefault="002034C8">
      <w:pPr>
        <w:spacing w:line="360" w:lineRule="auto"/>
        <w:ind w:firstLineChars="200" w:firstLine="480"/>
        <w:rPr>
          <w:rFonts w:ascii="华文楷体" w:eastAsia="华文楷体" w:hAnsi="华文楷体" w:cs="华文楷体"/>
          <w:b/>
          <w:bCs/>
        </w:rPr>
      </w:pPr>
      <w:r>
        <w:rPr>
          <w:rFonts w:ascii="华文楷体" w:eastAsia="华文楷体" w:hAnsi="华文楷体" w:cs="华文楷体" w:hint="eastAsia"/>
          <w:b/>
          <w:bCs/>
        </w:rPr>
        <w:t>四、股票市场运行情况</w:t>
      </w:r>
      <w:r>
        <w:rPr>
          <w:rFonts w:ascii="华文楷体" w:eastAsia="华文楷体" w:hAnsi="华文楷体" w:cs="华文楷体" w:hint="eastAsia"/>
          <w:b/>
          <w:bCs/>
        </w:rPr>
        <w:t xml:space="preserve"> </w:t>
      </w:r>
    </w:p>
    <w:p w14:paraId="5D78B26A"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 xml:space="preserve">2 </w:t>
      </w:r>
      <w:r>
        <w:rPr>
          <w:rFonts w:ascii="华文楷体" w:eastAsia="华文楷体" w:hAnsi="华文楷体" w:cs="华文楷体" w:hint="eastAsia"/>
        </w:rPr>
        <w:t>月末，上证综指收于</w:t>
      </w:r>
      <w:r>
        <w:rPr>
          <w:rFonts w:ascii="华文楷体" w:eastAsia="华文楷体" w:hAnsi="华文楷体" w:cs="华文楷体" w:hint="eastAsia"/>
        </w:rPr>
        <w:t xml:space="preserve"> 3259.41 </w:t>
      </w:r>
      <w:r>
        <w:rPr>
          <w:rFonts w:ascii="华文楷体" w:eastAsia="华文楷体" w:hAnsi="华文楷体" w:cs="华文楷体" w:hint="eastAsia"/>
        </w:rPr>
        <w:t>点，较上月末下跌</w:t>
      </w:r>
      <w:r>
        <w:rPr>
          <w:rFonts w:ascii="华文楷体" w:eastAsia="华文楷体" w:hAnsi="华文楷体" w:cs="华文楷体" w:hint="eastAsia"/>
        </w:rPr>
        <w:t xml:space="preserve"> 221.42 </w:t>
      </w:r>
      <w:r>
        <w:rPr>
          <w:rFonts w:ascii="华文楷体" w:eastAsia="华文楷体" w:hAnsi="华文楷体" w:cs="华文楷体" w:hint="eastAsia"/>
        </w:rPr>
        <w:t>点，</w:t>
      </w:r>
    </w:p>
    <w:p w14:paraId="7A617D1F"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跌幅为</w:t>
      </w:r>
      <w:r>
        <w:rPr>
          <w:rFonts w:ascii="华文楷体" w:eastAsia="华文楷体" w:hAnsi="华文楷体" w:cs="华文楷体" w:hint="eastAsia"/>
        </w:rPr>
        <w:t xml:space="preserve"> 6.36%</w:t>
      </w:r>
      <w:r>
        <w:rPr>
          <w:rFonts w:ascii="华文楷体" w:eastAsia="华文楷体" w:hAnsi="华文楷体" w:cs="华文楷体" w:hint="eastAsia"/>
        </w:rPr>
        <w:t>；深证成指收于</w:t>
      </w:r>
      <w:r>
        <w:rPr>
          <w:rFonts w:ascii="华文楷体" w:eastAsia="华文楷体" w:hAnsi="华文楷体" w:cs="华文楷体" w:hint="eastAsia"/>
        </w:rPr>
        <w:t xml:space="preserve"> 10828.73 </w:t>
      </w:r>
      <w:r>
        <w:rPr>
          <w:rFonts w:ascii="华文楷体" w:eastAsia="华文楷体" w:hAnsi="华文楷体" w:cs="华文楷体" w:hint="eastAsia"/>
        </w:rPr>
        <w:t>点，较上月末下跌</w:t>
      </w:r>
      <w:r>
        <w:rPr>
          <w:rFonts w:ascii="华文楷体" w:eastAsia="华文楷体" w:hAnsi="华文楷体" w:cs="华文楷体" w:hint="eastAsia"/>
        </w:rPr>
        <w:t xml:space="preserve"> 330.95 </w:t>
      </w:r>
      <w:r>
        <w:rPr>
          <w:rFonts w:ascii="华文楷体" w:eastAsia="华文楷体" w:hAnsi="华文楷体" w:cs="华文楷体" w:hint="eastAsia"/>
        </w:rPr>
        <w:t>点，跌幅为</w:t>
      </w:r>
      <w:r>
        <w:rPr>
          <w:rFonts w:ascii="华文楷体" w:eastAsia="华文楷体" w:hAnsi="华文楷体" w:cs="华文楷体" w:hint="eastAsia"/>
        </w:rPr>
        <w:t xml:space="preserve"> 2.97%</w:t>
      </w:r>
      <w:r>
        <w:rPr>
          <w:rFonts w:ascii="华文楷体" w:eastAsia="华文楷体" w:hAnsi="华文楷体" w:cs="华文楷体" w:hint="eastAsia"/>
        </w:rPr>
        <w:t>。</w:t>
      </w:r>
      <w:r>
        <w:rPr>
          <w:rFonts w:ascii="华文楷体" w:eastAsia="华文楷体" w:hAnsi="华文楷体" w:cs="华文楷体" w:hint="eastAsia"/>
        </w:rPr>
        <w:t xml:space="preserve">2 </w:t>
      </w:r>
      <w:r>
        <w:rPr>
          <w:rFonts w:ascii="华文楷体" w:eastAsia="华文楷体" w:hAnsi="华文楷体" w:cs="华文楷体" w:hint="eastAsia"/>
        </w:rPr>
        <w:t>月份，沪市日均交易量为</w:t>
      </w:r>
      <w:r>
        <w:rPr>
          <w:rFonts w:ascii="华文楷体" w:eastAsia="华文楷体" w:hAnsi="华文楷体" w:cs="华文楷体" w:hint="eastAsia"/>
        </w:rPr>
        <w:t xml:space="preserve"> 2190 </w:t>
      </w:r>
      <w:r>
        <w:rPr>
          <w:rFonts w:ascii="华文楷体" w:eastAsia="华文楷体" w:hAnsi="华文楷体" w:cs="华文楷体" w:hint="eastAsia"/>
        </w:rPr>
        <w:t>亿元，环比减少</w:t>
      </w:r>
      <w:r>
        <w:rPr>
          <w:rFonts w:ascii="华文楷体" w:eastAsia="华文楷体" w:hAnsi="华文楷体" w:cs="华文楷体" w:hint="eastAsia"/>
        </w:rPr>
        <w:t xml:space="preserve"> 17.05%</w:t>
      </w:r>
      <w:r>
        <w:rPr>
          <w:rFonts w:ascii="华文楷体" w:eastAsia="华文楷体" w:hAnsi="华文楷体" w:cs="华文楷体" w:hint="eastAsia"/>
        </w:rPr>
        <w:t>。深市日均交易量为</w:t>
      </w:r>
      <w:r>
        <w:rPr>
          <w:rFonts w:ascii="华文楷体" w:eastAsia="华文楷体" w:hAnsi="华文楷体" w:cs="华文楷体" w:hint="eastAsia"/>
        </w:rPr>
        <w:t xml:space="preserve"> 2110 </w:t>
      </w:r>
      <w:r>
        <w:rPr>
          <w:rFonts w:ascii="华文楷体" w:eastAsia="华文楷体" w:hAnsi="华文楷体" w:cs="华文楷体" w:hint="eastAsia"/>
        </w:rPr>
        <w:t>亿元，环比减少</w:t>
      </w:r>
      <w:r>
        <w:rPr>
          <w:rFonts w:ascii="华文楷体" w:eastAsia="华文楷体" w:hAnsi="华文楷体" w:cs="华文楷体" w:hint="eastAsia"/>
        </w:rPr>
        <w:t xml:space="preserve"> 18.52%</w:t>
      </w:r>
      <w:r>
        <w:rPr>
          <w:rFonts w:ascii="华文楷体" w:eastAsia="华文楷体" w:hAnsi="华文楷体" w:cs="华文楷体" w:hint="eastAsia"/>
        </w:rPr>
        <w:t>。</w:t>
      </w:r>
      <w:r>
        <w:rPr>
          <w:rFonts w:ascii="华文楷体" w:eastAsia="华文楷体" w:hAnsi="华文楷体" w:cs="华文楷体" w:hint="eastAsia"/>
        </w:rPr>
        <w:t xml:space="preserve"> </w:t>
      </w:r>
    </w:p>
    <w:p w14:paraId="090A0EB1"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（资</w:t>
      </w:r>
      <w:r>
        <w:rPr>
          <w:rFonts w:ascii="华文楷体" w:eastAsia="华文楷体" w:hAnsi="华文楷体" w:cs="华文楷体" w:hint="eastAsia"/>
        </w:rPr>
        <w:t>料来源：中国证券监督管理委员会、中央国债登记结算有限责任公司、全国银行间同业拆借中心、银行间市场清算所股份有限公司、上海证券交易所和深圳证券交易所）</w:t>
      </w:r>
      <w:r>
        <w:rPr>
          <w:rFonts w:ascii="华文楷体" w:eastAsia="华文楷体" w:hAnsi="华文楷体" w:cs="华文楷体" w:hint="eastAsia"/>
        </w:rPr>
        <w:t xml:space="preserve"> </w:t>
      </w:r>
    </w:p>
    <w:p w14:paraId="61E25CAA" w14:textId="77777777" w:rsidR="00ED5EBF" w:rsidRDefault="00ED5EBF">
      <w:pPr>
        <w:spacing w:line="360" w:lineRule="auto"/>
        <w:ind w:firstLineChars="200" w:firstLine="480"/>
        <w:rPr>
          <w:rFonts w:ascii="华文楷体" w:eastAsia="华文楷体" w:hAnsi="华文楷体" w:cs="华文楷体"/>
        </w:rPr>
      </w:pPr>
    </w:p>
    <w:p w14:paraId="4409C0B9" w14:textId="77777777" w:rsidR="00ED5EBF" w:rsidRDefault="00ED5EBF">
      <w:pPr>
        <w:spacing w:line="360" w:lineRule="auto"/>
        <w:ind w:firstLineChars="200" w:firstLine="480"/>
        <w:rPr>
          <w:rFonts w:ascii="华文楷体" w:eastAsia="华文楷体" w:hAnsi="华文楷体" w:cs="华文楷体"/>
        </w:rPr>
      </w:pPr>
    </w:p>
    <w:p w14:paraId="45334050" w14:textId="77777777" w:rsidR="00ED5EBF" w:rsidRDefault="00ED5EBF">
      <w:pPr>
        <w:spacing w:line="360" w:lineRule="auto"/>
        <w:ind w:firstLineChars="200" w:firstLine="480"/>
        <w:rPr>
          <w:rFonts w:ascii="华文楷体" w:eastAsia="华文楷体" w:hAnsi="华文楷体" w:cs="华文楷体"/>
        </w:rPr>
      </w:pPr>
    </w:p>
    <w:p w14:paraId="5A37255D" w14:textId="77777777" w:rsidR="00ED5EBF" w:rsidRDefault="00ED5EBF">
      <w:pPr>
        <w:spacing w:line="360" w:lineRule="auto"/>
        <w:ind w:firstLineChars="200" w:firstLine="480"/>
        <w:rPr>
          <w:rFonts w:ascii="华文楷体" w:eastAsia="华文楷体" w:hAnsi="华文楷体" w:cs="华文楷体"/>
        </w:rPr>
      </w:pPr>
    </w:p>
    <w:p w14:paraId="10A134A2" w14:textId="77777777" w:rsidR="00ED5EBF" w:rsidRDefault="00ED5EBF">
      <w:pPr>
        <w:spacing w:line="360" w:lineRule="auto"/>
        <w:ind w:firstLineChars="200" w:firstLine="480"/>
        <w:rPr>
          <w:rFonts w:ascii="华文楷体" w:eastAsia="华文楷体" w:hAnsi="华文楷体" w:cs="华文楷体"/>
        </w:rPr>
      </w:pPr>
    </w:p>
    <w:p w14:paraId="136CE825" w14:textId="77777777" w:rsidR="00ED5EBF" w:rsidRDefault="002034C8">
      <w:pPr>
        <w:spacing w:line="360" w:lineRule="auto"/>
        <w:ind w:firstLineChars="200" w:firstLine="480"/>
        <w:jc w:val="center"/>
        <w:rPr>
          <w:rFonts w:ascii="华文中宋" w:eastAsia="华文中宋" w:hAnsi="华文中宋" w:cs="华文中宋"/>
          <w:b/>
          <w:bCs/>
        </w:rPr>
      </w:pPr>
      <w:bookmarkStart w:id="24" w:name="依法严惩违法违规行为维护支付清算市场秩序"/>
      <w:r>
        <w:rPr>
          <w:rFonts w:ascii="华文中宋" w:eastAsia="华文中宋" w:hAnsi="华文中宋" w:cs="华文中宋" w:hint="eastAsia"/>
          <w:b/>
          <w:bCs/>
        </w:rPr>
        <w:t>依法严惩违法违规行为</w:t>
      </w:r>
      <w:r>
        <w:rPr>
          <w:rFonts w:ascii="华文中宋" w:eastAsia="华文中宋" w:hAnsi="华文中宋" w:cs="华文中宋" w:hint="eastAsia"/>
          <w:b/>
          <w:bCs/>
        </w:rPr>
        <w:t xml:space="preserve"> </w:t>
      </w:r>
      <w:r>
        <w:rPr>
          <w:rFonts w:ascii="华文中宋" w:eastAsia="华文中宋" w:hAnsi="华文中宋" w:cs="华文中宋" w:hint="eastAsia"/>
          <w:b/>
          <w:bCs/>
        </w:rPr>
        <w:t>维护支付清算市场秩序</w:t>
      </w:r>
    </w:p>
    <w:bookmarkEnd w:id="24"/>
    <w:p w14:paraId="54129D3F" w14:textId="77777777" w:rsidR="00ED5EBF" w:rsidRDefault="002034C8">
      <w:pPr>
        <w:spacing w:line="360" w:lineRule="auto"/>
        <w:ind w:firstLineChars="200" w:firstLine="420"/>
        <w:jc w:val="center"/>
        <w:rPr>
          <w:rFonts w:ascii="华文楷体" w:eastAsia="华文楷体" w:hAnsi="华文楷体" w:cs="华文楷体"/>
          <w:sz w:val="21"/>
          <w:szCs w:val="21"/>
        </w:rPr>
      </w:pPr>
      <w:r>
        <w:rPr>
          <w:rFonts w:ascii="华文楷体" w:eastAsia="华文楷体" w:hAnsi="华文楷体" w:cs="华文楷体" w:hint="eastAsia"/>
          <w:sz w:val="21"/>
          <w:szCs w:val="21"/>
        </w:rPr>
        <w:t>日期：</w:t>
      </w:r>
      <w:r>
        <w:rPr>
          <w:rFonts w:ascii="华文楷体" w:eastAsia="华文楷体" w:hAnsi="华文楷体" w:cs="华文楷体" w:hint="eastAsia"/>
          <w:sz w:val="21"/>
          <w:szCs w:val="21"/>
        </w:rPr>
        <w:t>2018</w:t>
      </w:r>
      <w:r>
        <w:rPr>
          <w:rFonts w:ascii="华文楷体" w:eastAsia="华文楷体" w:hAnsi="华文楷体" w:cs="华文楷体" w:hint="eastAsia"/>
          <w:sz w:val="21"/>
          <w:szCs w:val="21"/>
        </w:rPr>
        <w:t>年</w:t>
      </w:r>
      <w:r>
        <w:rPr>
          <w:rFonts w:ascii="华文楷体" w:eastAsia="华文楷体" w:hAnsi="华文楷体" w:cs="华文楷体" w:hint="eastAsia"/>
          <w:sz w:val="21"/>
          <w:szCs w:val="21"/>
        </w:rPr>
        <w:t>3</w:t>
      </w:r>
      <w:r>
        <w:rPr>
          <w:rFonts w:ascii="华文楷体" w:eastAsia="华文楷体" w:hAnsi="华文楷体" w:cs="华文楷体" w:hint="eastAsia"/>
          <w:sz w:val="21"/>
          <w:szCs w:val="21"/>
        </w:rPr>
        <w:t>月</w:t>
      </w:r>
      <w:r>
        <w:rPr>
          <w:rFonts w:ascii="华文楷体" w:eastAsia="华文楷体" w:hAnsi="华文楷体" w:cs="华文楷体" w:hint="eastAsia"/>
          <w:sz w:val="21"/>
          <w:szCs w:val="21"/>
        </w:rPr>
        <w:t>16</w:t>
      </w:r>
      <w:r>
        <w:rPr>
          <w:rFonts w:ascii="华文楷体" w:eastAsia="华文楷体" w:hAnsi="华文楷体" w:cs="华文楷体" w:hint="eastAsia"/>
          <w:sz w:val="21"/>
          <w:szCs w:val="21"/>
        </w:rPr>
        <w:t>日</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来源：沟通交流、中国人民银行</w:t>
      </w:r>
    </w:p>
    <w:p w14:paraId="69275080" w14:textId="77777777" w:rsidR="00ED5EBF" w:rsidRDefault="00ED5EBF">
      <w:pPr>
        <w:spacing w:line="360" w:lineRule="auto"/>
        <w:rPr>
          <w:rFonts w:ascii="华文楷体" w:eastAsia="华文楷体" w:hAnsi="华文楷体" w:cs="华文楷体"/>
        </w:rPr>
      </w:pPr>
    </w:p>
    <w:p w14:paraId="24483DCE"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为贯彻落实党中央、国务院关于加强金融监管的工作要求，整肃支付清算市场秩序，防范支付风险，中国人民银行于</w:t>
      </w:r>
      <w:r>
        <w:rPr>
          <w:rFonts w:ascii="华文楷体" w:eastAsia="华文楷体" w:hAnsi="华文楷体" w:cs="华文楷体" w:hint="eastAsia"/>
        </w:rPr>
        <w:t>2017</w:t>
      </w:r>
      <w:r>
        <w:rPr>
          <w:rFonts w:ascii="华文楷体" w:eastAsia="华文楷体" w:hAnsi="华文楷体" w:cs="华文楷体" w:hint="eastAsia"/>
        </w:rPr>
        <w:t>年</w:t>
      </w:r>
      <w:r>
        <w:rPr>
          <w:rFonts w:ascii="华文楷体" w:eastAsia="华文楷体" w:hAnsi="华文楷体" w:cs="华文楷体" w:hint="eastAsia"/>
        </w:rPr>
        <w:t>7</w:t>
      </w:r>
      <w:r>
        <w:rPr>
          <w:rFonts w:ascii="华文楷体" w:eastAsia="华文楷体" w:hAnsi="华文楷体" w:cs="华文楷体" w:hint="eastAsia"/>
        </w:rPr>
        <w:t>月至</w:t>
      </w:r>
      <w:r>
        <w:rPr>
          <w:rFonts w:ascii="华文楷体" w:eastAsia="华文楷体" w:hAnsi="华文楷体" w:cs="华文楷体" w:hint="eastAsia"/>
        </w:rPr>
        <w:t>9</w:t>
      </w:r>
      <w:r>
        <w:rPr>
          <w:rFonts w:ascii="华文楷体" w:eastAsia="华文楷体" w:hAnsi="华文楷体" w:cs="华文楷体" w:hint="eastAsia"/>
        </w:rPr>
        <w:t>月，先后对中国民生银行厦门分行（新兴支付清算中心）、平安银行开展了支付清算业务执法检查。</w:t>
      </w:r>
    </w:p>
    <w:p w14:paraId="0277D29E"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经查实，上述两家银行存在违反清算管理、人民币银行结算账户管理、非金融机构支付服务管理等违法违规行为。中国人民银行综合考虑两家银行违法违规行为的事实、性质、情节以及社会危害程度等因素，依据《中华人民共和国中国人民银行法》、《人民币银行结算账户管理办法》、《非金融机构支付服务管理办法》等法律规章规定，对中国民生银行厦门分行（新兴支付清算中心）给予警告，没收违法所得</w:t>
      </w:r>
      <w:r>
        <w:rPr>
          <w:rFonts w:ascii="华文楷体" w:eastAsia="华文楷体" w:hAnsi="华文楷体" w:cs="华文楷体" w:hint="eastAsia"/>
        </w:rPr>
        <w:t>48,418,193.27</w:t>
      </w:r>
      <w:r>
        <w:rPr>
          <w:rFonts w:ascii="华文楷体" w:eastAsia="华文楷体" w:hAnsi="华文楷体" w:cs="华文楷体" w:hint="eastAsia"/>
        </w:rPr>
        <w:t>元，并处罚款</w:t>
      </w:r>
      <w:r>
        <w:rPr>
          <w:rFonts w:ascii="华文楷体" w:eastAsia="华文楷体" w:hAnsi="华文楷体" w:cs="华文楷体" w:hint="eastAsia"/>
        </w:rPr>
        <w:t>114,639,752.47</w:t>
      </w:r>
      <w:r>
        <w:rPr>
          <w:rFonts w:ascii="华文楷体" w:eastAsia="华文楷体" w:hAnsi="华文楷体" w:cs="华文楷体" w:hint="eastAsia"/>
        </w:rPr>
        <w:t>元，合计处罚金额</w:t>
      </w:r>
      <w:r>
        <w:rPr>
          <w:rFonts w:ascii="华文楷体" w:eastAsia="华文楷体" w:hAnsi="华文楷体" w:cs="华文楷体" w:hint="eastAsia"/>
        </w:rPr>
        <w:t>163,057,945.74</w:t>
      </w:r>
      <w:r>
        <w:rPr>
          <w:rFonts w:ascii="华文楷体" w:eastAsia="华文楷体" w:hAnsi="华文楷体" w:cs="华文楷体" w:hint="eastAsia"/>
        </w:rPr>
        <w:t>元；对平安银行给予警告，没收违法所得</w:t>
      </w:r>
      <w:r>
        <w:rPr>
          <w:rFonts w:ascii="华文楷体" w:eastAsia="华文楷体" w:hAnsi="华文楷体" w:cs="华文楷体" w:hint="eastAsia"/>
        </w:rPr>
        <w:t>3,</w:t>
      </w:r>
      <w:r>
        <w:rPr>
          <w:rFonts w:ascii="华文楷体" w:eastAsia="华文楷体" w:hAnsi="华文楷体" w:cs="华文楷体" w:hint="eastAsia"/>
        </w:rPr>
        <w:t>036,061.39</w:t>
      </w:r>
      <w:r>
        <w:rPr>
          <w:rFonts w:ascii="华文楷体" w:eastAsia="华文楷体" w:hAnsi="华文楷体" w:cs="华文楷体" w:hint="eastAsia"/>
        </w:rPr>
        <w:t>元，并处罚款</w:t>
      </w:r>
      <w:r>
        <w:rPr>
          <w:rFonts w:ascii="华文楷体" w:eastAsia="华文楷体" w:hAnsi="华文楷体" w:cs="华文楷体" w:hint="eastAsia"/>
        </w:rPr>
        <w:t>10,308,084.15</w:t>
      </w:r>
      <w:r>
        <w:rPr>
          <w:rFonts w:ascii="华文楷体" w:eastAsia="华文楷体" w:hAnsi="华文楷体" w:cs="华文楷体" w:hint="eastAsia"/>
        </w:rPr>
        <w:t>元，合计处罚金额</w:t>
      </w:r>
      <w:r>
        <w:rPr>
          <w:rFonts w:ascii="华文楷体" w:eastAsia="华文楷体" w:hAnsi="华文楷体" w:cs="华文楷体" w:hint="eastAsia"/>
        </w:rPr>
        <w:t>13,344,145.54</w:t>
      </w:r>
      <w:r>
        <w:rPr>
          <w:rFonts w:ascii="华文楷体" w:eastAsia="华文楷体" w:hAnsi="华文楷体" w:cs="华文楷体" w:hint="eastAsia"/>
        </w:rPr>
        <w:t>元。</w:t>
      </w:r>
    </w:p>
    <w:p w14:paraId="49D7B584" w14:textId="77777777" w:rsidR="00ED5EBF" w:rsidRDefault="00ED5EBF">
      <w:pPr>
        <w:spacing w:line="360" w:lineRule="auto"/>
        <w:ind w:firstLineChars="200" w:firstLine="480"/>
        <w:rPr>
          <w:rFonts w:ascii="华文楷体" w:eastAsia="华文楷体" w:hAnsi="华文楷体" w:cs="华文楷体"/>
        </w:rPr>
      </w:pPr>
    </w:p>
    <w:p w14:paraId="735B52AF"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下一步，人民银行将继续依据相关法律规定，持续加强支付结算市场监管，从严惩处支付结算违法违规行为，保障支付市场的持续、稳定和健康发展。（完）</w:t>
      </w:r>
    </w:p>
    <w:p w14:paraId="117FEA3B" w14:textId="77777777" w:rsidR="00ED5EBF" w:rsidRDefault="00ED5EBF">
      <w:pPr>
        <w:spacing w:line="360" w:lineRule="auto"/>
        <w:rPr>
          <w:rFonts w:ascii="华文楷体" w:eastAsia="华文楷体" w:hAnsi="华文楷体" w:cs="华文楷体"/>
        </w:rPr>
      </w:pPr>
    </w:p>
    <w:p w14:paraId="73498736"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附件：</w:t>
      </w:r>
    </w:p>
    <w:p w14:paraId="66D52225" w14:textId="77777777" w:rsidR="00ED5EBF" w:rsidRDefault="002034C8">
      <w:pPr>
        <w:spacing w:line="360" w:lineRule="auto"/>
        <w:rPr>
          <w:rStyle w:val="a9"/>
          <w:rFonts w:ascii="华文楷体" w:eastAsia="华文楷体" w:hAnsi="华文楷体" w:cs="华文楷体"/>
        </w:rPr>
      </w:pPr>
      <w:r>
        <w:rPr>
          <w:rFonts w:ascii="华文楷体" w:eastAsia="华文楷体" w:hAnsi="华文楷体" w:cs="华文楷体" w:hint="eastAsia"/>
        </w:rPr>
        <w:fldChar w:fldCharType="begin"/>
      </w:r>
      <w:r>
        <w:rPr>
          <w:rFonts w:ascii="华文楷体" w:eastAsia="华文楷体" w:hAnsi="华文楷体" w:cs="华文楷体" w:hint="eastAsia"/>
        </w:rPr>
        <w:instrText xml:space="preserve"> HYPERLINK "http://www.pbc.gov.cn/goutongjiaoliu/113456/113469/3500023/index.html" </w:instrText>
      </w:r>
      <w:r>
        <w:rPr>
          <w:rFonts w:ascii="华文楷体" w:eastAsia="华文楷体" w:hAnsi="华文楷体" w:cs="华文楷体" w:hint="eastAsia"/>
        </w:rPr>
        <w:fldChar w:fldCharType="separate"/>
      </w:r>
      <w:r>
        <w:rPr>
          <w:rStyle w:val="a9"/>
          <w:rFonts w:ascii="华文楷体" w:eastAsia="华文楷体" w:hAnsi="华文楷体" w:cs="华文楷体" w:hint="eastAsia"/>
        </w:rPr>
        <w:t>行政处罚信息公示表（民生银行）</w:t>
      </w:r>
    </w:p>
    <w:p w14:paraId="198BC547" w14:textId="77777777" w:rsidR="00ED5EBF" w:rsidRDefault="002034C8">
      <w:pPr>
        <w:spacing w:line="360" w:lineRule="auto"/>
        <w:rPr>
          <w:rFonts w:ascii="华文楷体" w:eastAsia="华文楷体" w:hAnsi="华文楷体" w:cs="华文楷体"/>
        </w:rPr>
      </w:pPr>
      <w:r>
        <w:rPr>
          <w:rStyle w:val="a9"/>
          <w:rFonts w:ascii="华文楷体" w:eastAsia="华文楷体" w:hAnsi="华文楷体" w:cs="华文楷体" w:hint="eastAsia"/>
        </w:rPr>
        <w:t>行政处罚信息公示表（平安银行）</w:t>
      </w:r>
      <w:r>
        <w:rPr>
          <w:rFonts w:ascii="华文楷体" w:eastAsia="华文楷体" w:hAnsi="华文楷体" w:cs="华文楷体" w:hint="eastAsia"/>
        </w:rPr>
        <w:fldChar w:fldCharType="end"/>
      </w:r>
    </w:p>
    <w:p w14:paraId="221BF47C" w14:textId="77777777" w:rsidR="00ED5EBF" w:rsidRDefault="00ED5EBF">
      <w:pPr>
        <w:spacing w:line="360" w:lineRule="auto"/>
        <w:ind w:firstLineChars="200" w:firstLine="480"/>
        <w:rPr>
          <w:rFonts w:ascii="华文楷体" w:eastAsia="华文楷体" w:hAnsi="华文楷体" w:cs="华文楷体"/>
        </w:rPr>
      </w:pPr>
    </w:p>
    <w:p w14:paraId="257EFBA9" w14:textId="77777777" w:rsidR="00ED5EBF" w:rsidRDefault="002034C8">
      <w:pPr>
        <w:spacing w:line="360" w:lineRule="auto"/>
        <w:jc w:val="center"/>
        <w:rPr>
          <w:rFonts w:ascii="华文中宋" w:eastAsia="华文中宋" w:hAnsi="华文中宋" w:cs="华文中宋"/>
          <w:b/>
          <w:bCs/>
        </w:rPr>
      </w:pPr>
      <w:bookmarkStart w:id="25" w:name="关于进一步支持商业银行资本工具创新的意见"/>
      <w:r>
        <w:rPr>
          <w:rFonts w:ascii="华文中宋" w:eastAsia="华文中宋" w:hAnsi="华文中宋" w:cs="华文中宋" w:hint="eastAsia"/>
          <w:b/>
          <w:bCs/>
        </w:rPr>
        <w:t>关于进一步支持商业银行资本工具创新的意见</w:t>
      </w:r>
    </w:p>
    <w:bookmarkEnd w:id="25"/>
    <w:p w14:paraId="1389483B" w14:textId="77777777" w:rsidR="00ED5EBF" w:rsidRDefault="002034C8">
      <w:pPr>
        <w:spacing w:line="360" w:lineRule="auto"/>
        <w:jc w:val="center"/>
        <w:rPr>
          <w:rFonts w:ascii="华文楷体" w:eastAsia="华文楷体" w:hAnsi="华文楷体" w:cs="华文楷体"/>
          <w:sz w:val="21"/>
          <w:szCs w:val="21"/>
        </w:rPr>
      </w:pPr>
      <w:r>
        <w:rPr>
          <w:rFonts w:ascii="华文楷体" w:eastAsia="华文楷体" w:hAnsi="华文楷体" w:cs="华文楷体" w:hint="eastAsia"/>
          <w:sz w:val="21"/>
          <w:szCs w:val="21"/>
        </w:rPr>
        <w:t>日期：</w:t>
      </w:r>
      <w:r>
        <w:rPr>
          <w:rFonts w:ascii="华文楷体" w:eastAsia="华文楷体" w:hAnsi="华文楷体" w:cs="华文楷体" w:hint="eastAsia"/>
          <w:sz w:val="21"/>
          <w:szCs w:val="21"/>
        </w:rPr>
        <w:t>2018</w:t>
      </w:r>
      <w:r>
        <w:rPr>
          <w:rFonts w:ascii="华文楷体" w:eastAsia="华文楷体" w:hAnsi="华文楷体" w:cs="华文楷体" w:hint="eastAsia"/>
          <w:sz w:val="21"/>
          <w:szCs w:val="21"/>
        </w:rPr>
        <w:t>年</w:t>
      </w:r>
      <w:r>
        <w:rPr>
          <w:rFonts w:ascii="华文楷体" w:eastAsia="华文楷体" w:hAnsi="华文楷体" w:cs="华文楷体" w:hint="eastAsia"/>
          <w:sz w:val="21"/>
          <w:szCs w:val="21"/>
        </w:rPr>
        <w:t>3</w:t>
      </w:r>
      <w:r>
        <w:rPr>
          <w:rFonts w:ascii="华文楷体" w:eastAsia="华文楷体" w:hAnsi="华文楷体" w:cs="华文楷体" w:hint="eastAsia"/>
          <w:sz w:val="21"/>
          <w:szCs w:val="21"/>
        </w:rPr>
        <w:t>月</w:t>
      </w:r>
      <w:r>
        <w:rPr>
          <w:rFonts w:ascii="华文楷体" w:eastAsia="华文楷体" w:hAnsi="华文楷体" w:cs="华文楷体" w:hint="eastAsia"/>
          <w:sz w:val="21"/>
          <w:szCs w:val="21"/>
        </w:rPr>
        <w:t>12</w:t>
      </w:r>
      <w:r>
        <w:rPr>
          <w:rFonts w:ascii="华文楷体" w:eastAsia="华文楷体" w:hAnsi="华文楷体" w:cs="华文楷体" w:hint="eastAsia"/>
          <w:sz w:val="21"/>
          <w:szCs w:val="21"/>
        </w:rPr>
        <w:t>日</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来源：银监会</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审慎规制局</w:t>
      </w:r>
    </w:p>
    <w:p w14:paraId="14A4BE00" w14:textId="77777777" w:rsidR="00ED5EBF" w:rsidRDefault="00ED5EBF">
      <w:pPr>
        <w:spacing w:line="360" w:lineRule="auto"/>
        <w:jc w:val="center"/>
        <w:rPr>
          <w:rFonts w:ascii="华文楷体" w:eastAsia="华文楷体" w:hAnsi="华文楷体" w:cs="华文楷体"/>
          <w:sz w:val="21"/>
          <w:szCs w:val="21"/>
        </w:rPr>
      </w:pPr>
    </w:p>
    <w:p w14:paraId="0F19D32E"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银监发〔</w:t>
      </w:r>
      <w:r>
        <w:rPr>
          <w:rFonts w:ascii="华文楷体" w:eastAsia="华文楷体" w:hAnsi="华文楷体" w:cs="华文楷体" w:hint="eastAsia"/>
        </w:rPr>
        <w:t>2018</w:t>
      </w:r>
      <w:r>
        <w:rPr>
          <w:rFonts w:ascii="华文楷体" w:eastAsia="华文楷体" w:hAnsi="华文楷体" w:cs="华文楷体" w:hint="eastAsia"/>
        </w:rPr>
        <w:t>〕</w:t>
      </w:r>
      <w:r>
        <w:rPr>
          <w:rFonts w:ascii="华文楷体" w:eastAsia="华文楷体" w:hAnsi="华文楷体" w:cs="华文楷体" w:hint="eastAsia"/>
        </w:rPr>
        <w:t>5</w:t>
      </w:r>
      <w:r>
        <w:rPr>
          <w:rFonts w:ascii="华文楷体" w:eastAsia="华文楷体" w:hAnsi="华文楷体" w:cs="华文楷体" w:hint="eastAsia"/>
        </w:rPr>
        <w:t>号</w:t>
      </w:r>
    </w:p>
    <w:p w14:paraId="6CC742A2"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w:t>
      </w:r>
    </w:p>
    <w:p w14:paraId="33542029"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各银监局，中国人民银行上海总部、各分行、营业管理部、各省会（首府）城市中心支行、各副省级城市中心支行，各证监局、中国证监会各交易所、各协会、各下属单位，各保监局，国家外汇管理局各省、自治区、直辖市及计划单列市分局、外汇管理部，各大型银行、股份制银行，邮储银行，外资银行：</w:t>
      </w:r>
    </w:p>
    <w:p w14:paraId="3D62A088"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 xml:space="preserve"> </w:t>
      </w:r>
    </w:p>
    <w:p w14:paraId="0BB560DE"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近年来，商业银行资本充足率水平总体保持稳定，新型资本工具发行环境逐步改善。为拓宽商业银行资本补充渠道，提升其</w:t>
      </w:r>
      <w:r>
        <w:rPr>
          <w:rFonts w:ascii="华文楷体" w:eastAsia="华文楷体" w:hAnsi="华文楷体" w:cs="华文楷体" w:hint="eastAsia"/>
        </w:rPr>
        <w:t>支持实体经济的能力，现就进一步支持商业银行资本工具创新提出如下意见：</w:t>
      </w:r>
    </w:p>
    <w:p w14:paraId="4851E7DC" w14:textId="77777777" w:rsidR="00ED5EBF" w:rsidRDefault="00ED5EBF">
      <w:pPr>
        <w:spacing w:line="360" w:lineRule="auto"/>
        <w:ind w:firstLineChars="200" w:firstLine="480"/>
        <w:rPr>
          <w:rFonts w:ascii="华文楷体" w:eastAsia="华文楷体" w:hAnsi="华文楷体" w:cs="华文楷体"/>
        </w:rPr>
      </w:pPr>
    </w:p>
    <w:p w14:paraId="0938BA24"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b/>
          <w:bCs/>
        </w:rPr>
        <w:t>一、积极支持商业银行资本工具创新的有益探索。</w:t>
      </w:r>
      <w:r>
        <w:rPr>
          <w:rFonts w:ascii="华文楷体" w:eastAsia="华文楷体" w:hAnsi="华文楷体" w:cs="华文楷体" w:hint="eastAsia"/>
        </w:rPr>
        <w:t>推动商业银行资本工具创新，有助于拓宽银行资本补充渠道，提升银行业应对外部冲击的能力，为支持实体经济提供必要的保障。支持商业银行在资本工具创新方面的有益探索，营造有利于商业银行资本工具创新的外部环境，充分调动商业银行资本工具创新的积极性和主动性。</w:t>
      </w:r>
    </w:p>
    <w:p w14:paraId="6049BB09" w14:textId="77777777" w:rsidR="00ED5EBF" w:rsidRDefault="00ED5EBF">
      <w:pPr>
        <w:spacing w:line="360" w:lineRule="auto"/>
        <w:ind w:firstLineChars="200" w:firstLine="480"/>
        <w:rPr>
          <w:rFonts w:ascii="华文楷体" w:eastAsia="华文楷体" w:hAnsi="华文楷体" w:cs="华文楷体"/>
        </w:rPr>
      </w:pPr>
    </w:p>
    <w:p w14:paraId="07993ECF"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b/>
          <w:bCs/>
        </w:rPr>
        <w:t>二、拓宽资本工具发行渠道。</w:t>
      </w:r>
      <w:r>
        <w:rPr>
          <w:rFonts w:ascii="华文楷体" w:eastAsia="华文楷体" w:hAnsi="华文楷体" w:cs="华文楷体" w:hint="eastAsia"/>
        </w:rPr>
        <w:t>持续完善市场基础设施，研究修订配套制度，支持商业银行在强化内源性资本积累的前提下，充分发挥境内外金融市场互补优势，有效运用境内外市场资源，通过多种渠道稳步扩大资本工具的发行规模。</w:t>
      </w:r>
    </w:p>
    <w:p w14:paraId="1D0B4C50"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b/>
          <w:bCs/>
        </w:rPr>
        <w:t>三、增加资本工具种类。</w:t>
      </w:r>
      <w:r>
        <w:rPr>
          <w:rFonts w:ascii="华文楷体" w:eastAsia="华文楷体" w:hAnsi="华文楷体" w:cs="华文楷体" w:hint="eastAsia"/>
        </w:rPr>
        <w:t>总结商业银行发行优先股、减记型二级资本债券的实践经验，推动修改有关法律法规，研究完善配套规则，为商业银行发行无固定期限资本债券、转股型二级资本债券、含定期转股条款资本债券和总损失吸收能力债务工具等资本工具创造有利条件。</w:t>
      </w:r>
    </w:p>
    <w:p w14:paraId="557B6CFB" w14:textId="77777777" w:rsidR="00ED5EBF" w:rsidRDefault="00ED5EBF">
      <w:pPr>
        <w:spacing w:line="360" w:lineRule="auto"/>
        <w:ind w:firstLineChars="200" w:firstLine="480"/>
        <w:rPr>
          <w:rFonts w:ascii="华文楷体" w:eastAsia="华文楷体" w:hAnsi="华文楷体" w:cs="华文楷体"/>
        </w:rPr>
      </w:pPr>
    </w:p>
    <w:p w14:paraId="7B10C3CE"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b/>
          <w:bCs/>
        </w:rPr>
        <w:t>四、扩大投资主体范围。</w:t>
      </w:r>
      <w:r>
        <w:rPr>
          <w:rFonts w:ascii="华文楷体" w:eastAsia="华文楷体" w:hAnsi="华文楷体" w:cs="华文楷体" w:hint="eastAsia"/>
        </w:rPr>
        <w:t>在防范风险的前提下，研究社保基金、保险公司、证券机构、基金公司等机构对商业银行资本工具的投资政策，扩大商业银行资本工具的投资主体范围，分散集中度风险，降低商业银行资本工具的发行成本。</w:t>
      </w:r>
    </w:p>
    <w:p w14:paraId="4D34A1E2" w14:textId="77777777" w:rsidR="00ED5EBF" w:rsidRDefault="00ED5EBF">
      <w:pPr>
        <w:spacing w:line="360" w:lineRule="auto"/>
        <w:ind w:firstLineChars="200" w:firstLine="480"/>
        <w:rPr>
          <w:rFonts w:ascii="华文楷体" w:eastAsia="华文楷体" w:hAnsi="华文楷体" w:cs="华文楷体"/>
        </w:rPr>
      </w:pPr>
    </w:p>
    <w:p w14:paraId="7733323D"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b/>
          <w:bCs/>
        </w:rPr>
        <w:t>五、改进资本工具发行审批工作。</w:t>
      </w:r>
      <w:r>
        <w:rPr>
          <w:rFonts w:ascii="华文楷体" w:eastAsia="华文楷体" w:hAnsi="华文楷体" w:cs="华文楷体" w:hint="eastAsia"/>
        </w:rPr>
        <w:t>一是优化资本工具发行审批流程。总结资本工具发行审批的现有做法，探索并联审批。二是完善储架发行机制。逐步完善储架发行审批制度，探索在相关部门批准的发行额度内允许商业银行自主控制发行节奏的工作机制。</w:t>
      </w:r>
    </w:p>
    <w:p w14:paraId="021B57E2"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 xml:space="preserve"> </w:t>
      </w:r>
    </w:p>
    <w:p w14:paraId="6E07272E" w14:textId="77777777" w:rsidR="00ED5EBF" w:rsidRDefault="002034C8">
      <w:pPr>
        <w:spacing w:line="360" w:lineRule="auto"/>
        <w:ind w:firstLineChars="200" w:firstLine="480"/>
        <w:jc w:val="right"/>
        <w:rPr>
          <w:rFonts w:ascii="华文楷体" w:eastAsia="华文楷体" w:hAnsi="华文楷体" w:cs="华文楷体"/>
        </w:rPr>
      </w:pPr>
      <w:r>
        <w:rPr>
          <w:rFonts w:ascii="华文楷体" w:eastAsia="华文楷体" w:hAnsi="华文楷体" w:cs="华文楷体" w:hint="eastAsia"/>
        </w:rPr>
        <w:t>中国银监会</w:t>
      </w:r>
      <w:r>
        <w:rPr>
          <w:rFonts w:ascii="华文楷体" w:eastAsia="华文楷体" w:hAnsi="华文楷体" w:cs="华文楷体" w:hint="eastAsia"/>
        </w:rPr>
        <w:t xml:space="preserve">                 </w:t>
      </w:r>
    </w:p>
    <w:p w14:paraId="237704C1" w14:textId="77777777" w:rsidR="00ED5EBF" w:rsidRDefault="002034C8">
      <w:pPr>
        <w:spacing w:line="360" w:lineRule="auto"/>
        <w:ind w:firstLineChars="200" w:firstLine="480"/>
        <w:jc w:val="right"/>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中国人民银行</w:t>
      </w:r>
      <w:r>
        <w:rPr>
          <w:rFonts w:ascii="华文楷体" w:eastAsia="华文楷体" w:hAnsi="华文楷体" w:cs="华文楷体" w:hint="eastAsia"/>
        </w:rPr>
        <w:t xml:space="preserve">  </w:t>
      </w:r>
    </w:p>
    <w:p w14:paraId="27FE2007" w14:textId="77777777" w:rsidR="00ED5EBF" w:rsidRDefault="002034C8">
      <w:pPr>
        <w:spacing w:line="360" w:lineRule="auto"/>
        <w:ind w:firstLineChars="200" w:firstLine="480"/>
        <w:jc w:val="right"/>
        <w:rPr>
          <w:rFonts w:ascii="华文楷体" w:eastAsia="华文楷体" w:hAnsi="华文楷体" w:cs="华文楷体"/>
        </w:rPr>
      </w:pPr>
      <w:r>
        <w:rPr>
          <w:rFonts w:ascii="华文楷体" w:eastAsia="华文楷体" w:hAnsi="华文楷体" w:cs="华文楷体" w:hint="eastAsia"/>
        </w:rPr>
        <w:t>中国证监会</w:t>
      </w:r>
      <w:r>
        <w:rPr>
          <w:rFonts w:ascii="华文楷体" w:eastAsia="华文楷体" w:hAnsi="华文楷体" w:cs="华文楷体" w:hint="eastAsia"/>
        </w:rPr>
        <w:t xml:space="preserve">    </w:t>
      </w:r>
    </w:p>
    <w:p w14:paraId="5B1F840F" w14:textId="77777777" w:rsidR="00ED5EBF" w:rsidRDefault="002034C8">
      <w:pPr>
        <w:spacing w:line="360" w:lineRule="auto"/>
        <w:ind w:firstLineChars="200" w:firstLine="480"/>
        <w:jc w:val="right"/>
        <w:rPr>
          <w:rFonts w:ascii="华文楷体" w:eastAsia="华文楷体" w:hAnsi="华文楷体" w:cs="华文楷体"/>
        </w:rPr>
      </w:pPr>
      <w:r>
        <w:rPr>
          <w:rFonts w:ascii="华文楷体" w:eastAsia="华文楷体" w:hAnsi="华文楷体" w:cs="华文楷体" w:hint="eastAsia"/>
        </w:rPr>
        <w:t>中国保监会</w:t>
      </w:r>
      <w:r>
        <w:rPr>
          <w:rFonts w:ascii="华文楷体" w:eastAsia="华文楷体" w:hAnsi="华文楷体" w:cs="华文楷体" w:hint="eastAsia"/>
        </w:rPr>
        <w:t xml:space="preserve">   </w:t>
      </w:r>
    </w:p>
    <w:p w14:paraId="631A1348" w14:textId="77777777" w:rsidR="00ED5EBF" w:rsidRDefault="002034C8">
      <w:pPr>
        <w:spacing w:line="360" w:lineRule="auto"/>
        <w:ind w:firstLineChars="200" w:firstLine="480"/>
        <w:jc w:val="right"/>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国家外汇管理局</w:t>
      </w:r>
      <w:r>
        <w:rPr>
          <w:rFonts w:ascii="华文楷体" w:eastAsia="华文楷体" w:hAnsi="华文楷体" w:cs="华文楷体" w:hint="eastAsia"/>
        </w:rPr>
        <w:t xml:space="preserve">                      </w:t>
      </w:r>
    </w:p>
    <w:p w14:paraId="7A629735" w14:textId="77777777" w:rsidR="00ED5EBF" w:rsidRDefault="002034C8">
      <w:pPr>
        <w:spacing w:line="360" w:lineRule="auto"/>
        <w:ind w:firstLineChars="200" w:firstLine="480"/>
        <w:jc w:val="right"/>
        <w:rPr>
          <w:rFonts w:ascii="华文楷体" w:eastAsia="华文楷体" w:hAnsi="华文楷体" w:cs="华文楷体"/>
        </w:rPr>
      </w:pPr>
      <w:r>
        <w:rPr>
          <w:rFonts w:ascii="华文楷体" w:eastAsia="华文楷体" w:hAnsi="华文楷体" w:cs="华文楷体" w:hint="eastAsia"/>
        </w:rPr>
        <w:t>2018</w:t>
      </w:r>
      <w:r>
        <w:rPr>
          <w:rFonts w:ascii="华文楷体" w:eastAsia="华文楷体" w:hAnsi="华文楷体" w:cs="华文楷体" w:hint="eastAsia"/>
        </w:rPr>
        <w:t>年</w:t>
      </w:r>
      <w:r>
        <w:rPr>
          <w:rFonts w:ascii="华文楷体" w:eastAsia="华文楷体" w:hAnsi="华文楷体" w:cs="华文楷体" w:hint="eastAsia"/>
        </w:rPr>
        <w:t>1</w:t>
      </w:r>
      <w:r>
        <w:rPr>
          <w:rFonts w:ascii="华文楷体" w:eastAsia="华文楷体" w:hAnsi="华文楷体" w:cs="华文楷体" w:hint="eastAsia"/>
        </w:rPr>
        <w:t>月</w:t>
      </w:r>
      <w:r>
        <w:rPr>
          <w:rFonts w:ascii="华文楷体" w:eastAsia="华文楷体" w:hAnsi="华文楷体" w:cs="华文楷体" w:hint="eastAsia"/>
        </w:rPr>
        <w:t xml:space="preserve">18  </w:t>
      </w:r>
      <w:r>
        <w:rPr>
          <w:rFonts w:ascii="华文楷体" w:eastAsia="华文楷体" w:hAnsi="华文楷体" w:cs="华文楷体" w:hint="eastAsia"/>
        </w:rPr>
        <w:t>日</w:t>
      </w:r>
    </w:p>
    <w:p w14:paraId="334FB53B"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（此件发至银监分局和地方法人商业银行）</w:t>
      </w:r>
    </w:p>
    <w:p w14:paraId="13E85E58" w14:textId="77777777" w:rsidR="00ED5EBF" w:rsidRDefault="00ED5EBF">
      <w:pPr>
        <w:spacing w:line="360" w:lineRule="auto"/>
        <w:ind w:firstLineChars="200" w:firstLine="480"/>
        <w:rPr>
          <w:rFonts w:ascii="华文楷体" w:eastAsia="华文楷体" w:hAnsi="华文楷体" w:cs="华文楷体"/>
        </w:rPr>
      </w:pPr>
    </w:p>
    <w:p w14:paraId="54781B80"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附件：</w:t>
      </w:r>
    </w:p>
    <w:p w14:paraId="1EC3ECEC" w14:textId="77777777" w:rsidR="00ED5EBF" w:rsidRDefault="002034C8">
      <w:pPr>
        <w:spacing w:line="360" w:lineRule="auto"/>
        <w:ind w:firstLineChars="200" w:firstLine="480"/>
        <w:jc w:val="center"/>
        <w:rPr>
          <w:rFonts w:ascii="华文中宋" w:eastAsia="华文中宋" w:hAnsi="华文中宋" w:cs="华文中宋"/>
          <w:b/>
          <w:bCs/>
        </w:rPr>
      </w:pPr>
      <w:r>
        <w:rPr>
          <w:rFonts w:ascii="华文中宋" w:eastAsia="华文中宋" w:hAnsi="华文中宋" w:cs="华文中宋" w:hint="eastAsia"/>
          <w:b/>
          <w:bCs/>
        </w:rPr>
        <w:t>中国银监会、中国人民银行、中国证监会、中国保监会和国家外汇局联合发布《关于进一步支持商业银行资本工具创新的意见》</w:t>
      </w:r>
    </w:p>
    <w:p w14:paraId="5D64D108" w14:textId="77777777" w:rsidR="00ED5EBF" w:rsidRDefault="00ED5EBF">
      <w:pPr>
        <w:spacing w:line="360" w:lineRule="auto"/>
        <w:ind w:firstLineChars="200" w:firstLine="480"/>
        <w:rPr>
          <w:rFonts w:ascii="华文楷体" w:eastAsia="华文楷体" w:hAnsi="华文楷体" w:cs="华文楷体"/>
        </w:rPr>
      </w:pPr>
    </w:p>
    <w:p w14:paraId="7FB3FBB1"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为进一步支持商业银行拓宽资本补充渠道，提升银行体系稳健性，强化银行支持实体经济能力，中国银监会、中国人民银行、中国证监会、中国保监会和国家外汇局联合发布《关于进一步支持商业银行资本工具创新的意见》（以下简称《意见》）。</w:t>
      </w:r>
    </w:p>
    <w:p w14:paraId="36CBA2B2" w14:textId="77777777" w:rsidR="00ED5EBF" w:rsidRDefault="00ED5EBF">
      <w:pPr>
        <w:spacing w:line="360" w:lineRule="auto"/>
        <w:ind w:firstLineChars="200" w:firstLine="480"/>
        <w:rPr>
          <w:rFonts w:ascii="华文楷体" w:eastAsia="华文楷体" w:hAnsi="华文楷体" w:cs="华文楷体"/>
        </w:rPr>
      </w:pPr>
    </w:p>
    <w:p w14:paraId="3D2D67FF"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《意见》主要包括以下内容：一</w:t>
      </w:r>
      <w:r>
        <w:rPr>
          <w:rFonts w:ascii="华文楷体" w:eastAsia="华文楷体" w:hAnsi="华文楷体" w:cs="华文楷体" w:hint="eastAsia"/>
        </w:rPr>
        <w:t>是积极扩宽资本工具发行渠道。充分发挥境内外金融市场的互补优势，有效运用境内外市场资源，支持商业银行通过多种渠道发行资本工具，通过多种渠道稳步扩大资本工具的发行规模。二是积极研究增加资本工具种类。总结经验并研究完善配套规则，为银行发行无固定期限资本债券、转股型二级资本债券、含定期转股条款资本债券和总损失吸收能力债务工具等资本工具创造有利条件。三是扩大投资者群体。在防范风险的前提下，研究社保基金、保险公司、证券机构、基金公司等机构对商业银行资本工具的投资政策，扩大商业银行资本工具的投资主体。四是简化资本工具发行</w:t>
      </w:r>
      <w:r>
        <w:rPr>
          <w:rFonts w:ascii="华文楷体" w:eastAsia="华文楷体" w:hAnsi="华文楷体" w:cs="华文楷体" w:hint="eastAsia"/>
        </w:rPr>
        <w:t>的审批程序。优化资本工具发行审批流程，完善储架发行机制。</w:t>
      </w:r>
    </w:p>
    <w:p w14:paraId="11FB799B" w14:textId="77777777" w:rsidR="00ED5EBF" w:rsidRDefault="00ED5EBF">
      <w:pPr>
        <w:spacing w:line="360" w:lineRule="auto"/>
        <w:ind w:firstLineChars="200" w:firstLine="480"/>
        <w:rPr>
          <w:rFonts w:ascii="华文楷体" w:eastAsia="华文楷体" w:hAnsi="华文楷体" w:cs="华文楷体"/>
        </w:rPr>
      </w:pPr>
    </w:p>
    <w:p w14:paraId="7774EC39"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《意见》提出，商业银行应将资本补充与资本规划相结合，统筹考虑资产增长、结构调整、内部资本留存、外部环境等因素，科学合理设定资本补充计划。</w:t>
      </w:r>
    </w:p>
    <w:p w14:paraId="5B973A65" w14:textId="77777777" w:rsidR="00ED5EBF" w:rsidRDefault="00ED5EBF">
      <w:pPr>
        <w:spacing w:line="360" w:lineRule="auto"/>
        <w:ind w:firstLineChars="200" w:firstLine="480"/>
        <w:rPr>
          <w:rFonts w:ascii="华文楷体" w:eastAsia="华文楷体" w:hAnsi="华文楷体" w:cs="华文楷体"/>
        </w:rPr>
      </w:pPr>
    </w:p>
    <w:p w14:paraId="53A81FEA" w14:textId="77777777" w:rsidR="00ED5EBF" w:rsidRDefault="002034C8">
      <w:pPr>
        <w:spacing w:line="360" w:lineRule="auto"/>
        <w:ind w:firstLineChars="200" w:firstLine="480"/>
        <w:jc w:val="center"/>
        <w:rPr>
          <w:rFonts w:ascii="华文中宋" w:eastAsia="华文中宋" w:hAnsi="华文中宋" w:cs="华文中宋"/>
          <w:b/>
          <w:bCs/>
        </w:rPr>
      </w:pPr>
      <w:bookmarkStart w:id="26" w:name="银监会副主席王兆星：预计市场化债转股进程会加快"/>
      <w:r>
        <w:rPr>
          <w:rFonts w:ascii="华文中宋" w:eastAsia="华文中宋" w:hAnsi="华文中宋" w:cs="华文中宋" w:hint="eastAsia"/>
          <w:b/>
          <w:bCs/>
        </w:rPr>
        <w:t>银监会副主席王兆星：预计市场化债转股进程会加快</w:t>
      </w:r>
      <w:bookmarkEnd w:id="26"/>
    </w:p>
    <w:p w14:paraId="73DD2B12" w14:textId="77777777" w:rsidR="00ED5EBF" w:rsidRDefault="002034C8">
      <w:pPr>
        <w:spacing w:line="360" w:lineRule="auto"/>
        <w:ind w:firstLineChars="200" w:firstLine="420"/>
        <w:jc w:val="center"/>
        <w:rPr>
          <w:rFonts w:ascii="华文楷体" w:eastAsia="华文楷体" w:hAnsi="华文楷体" w:cs="华文楷体"/>
          <w:sz w:val="21"/>
          <w:szCs w:val="21"/>
        </w:rPr>
      </w:pPr>
      <w:r>
        <w:rPr>
          <w:rFonts w:ascii="华文楷体" w:eastAsia="华文楷体" w:hAnsi="华文楷体" w:cs="华文楷体" w:hint="eastAsia"/>
          <w:sz w:val="21"/>
          <w:szCs w:val="21"/>
        </w:rPr>
        <w:t>日期：</w:t>
      </w:r>
      <w:r>
        <w:rPr>
          <w:rFonts w:ascii="华文楷体" w:eastAsia="华文楷体" w:hAnsi="华文楷体" w:cs="华文楷体" w:hint="eastAsia"/>
          <w:sz w:val="21"/>
          <w:szCs w:val="21"/>
        </w:rPr>
        <w:t>2018</w:t>
      </w:r>
      <w:r>
        <w:rPr>
          <w:rFonts w:ascii="华文楷体" w:eastAsia="华文楷体" w:hAnsi="华文楷体" w:cs="华文楷体" w:hint="eastAsia"/>
          <w:sz w:val="21"/>
          <w:szCs w:val="21"/>
        </w:rPr>
        <w:t>年</w:t>
      </w:r>
      <w:r>
        <w:rPr>
          <w:rFonts w:ascii="华文楷体" w:eastAsia="华文楷体" w:hAnsi="华文楷体" w:cs="华文楷体" w:hint="eastAsia"/>
          <w:sz w:val="21"/>
          <w:szCs w:val="21"/>
        </w:rPr>
        <w:t>3</w:t>
      </w:r>
      <w:r>
        <w:rPr>
          <w:rFonts w:ascii="华文楷体" w:eastAsia="华文楷体" w:hAnsi="华文楷体" w:cs="华文楷体" w:hint="eastAsia"/>
          <w:sz w:val="21"/>
          <w:szCs w:val="21"/>
        </w:rPr>
        <w:t>月</w:t>
      </w:r>
      <w:r>
        <w:rPr>
          <w:rFonts w:ascii="华文楷体" w:eastAsia="华文楷体" w:hAnsi="华文楷体" w:cs="华文楷体" w:hint="eastAsia"/>
          <w:sz w:val="21"/>
          <w:szCs w:val="21"/>
        </w:rPr>
        <w:t>13</w:t>
      </w:r>
      <w:r>
        <w:rPr>
          <w:rFonts w:ascii="华文楷体" w:eastAsia="华文楷体" w:hAnsi="华文楷体" w:cs="华文楷体" w:hint="eastAsia"/>
          <w:sz w:val="21"/>
          <w:szCs w:val="21"/>
        </w:rPr>
        <w:t>日</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来源：新浪综合</w:t>
      </w:r>
    </w:p>
    <w:p w14:paraId="06CA544B" w14:textId="77777777" w:rsidR="00ED5EBF" w:rsidRDefault="00ED5EBF">
      <w:pPr>
        <w:spacing w:line="360" w:lineRule="auto"/>
        <w:ind w:firstLineChars="200" w:firstLine="420"/>
        <w:jc w:val="center"/>
        <w:rPr>
          <w:rFonts w:ascii="华文楷体" w:eastAsia="华文楷体" w:hAnsi="华文楷体" w:cs="华文楷体"/>
          <w:sz w:val="21"/>
          <w:szCs w:val="21"/>
        </w:rPr>
      </w:pPr>
    </w:p>
    <w:p w14:paraId="1B107360"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证券时报两会报道组</w:t>
      </w:r>
    </w:p>
    <w:p w14:paraId="6126F134" w14:textId="77777777" w:rsidR="00ED5EBF" w:rsidRDefault="00ED5EBF">
      <w:pPr>
        <w:spacing w:line="360" w:lineRule="auto"/>
        <w:rPr>
          <w:rFonts w:ascii="华文楷体" w:eastAsia="华文楷体" w:hAnsi="华文楷体" w:cs="华文楷体"/>
        </w:rPr>
      </w:pPr>
    </w:p>
    <w:p w14:paraId="2E005519"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银监会副主席王兆星昨日列席全国政协经济界别小组讨论，并在会后接受媒体采访。他回应了市场化债转股、强化城商行公司治理等热点问题。在问及市场化债转股进程是否会加快时，王兆星表示，现在正在稳步推进市场化债转股，并正在完善相关的配套措施。</w:t>
      </w:r>
    </w:p>
    <w:p w14:paraId="5DCD6790" w14:textId="77777777" w:rsidR="00ED5EBF" w:rsidRDefault="00ED5EBF">
      <w:pPr>
        <w:spacing w:line="360" w:lineRule="auto"/>
        <w:rPr>
          <w:rFonts w:ascii="华文楷体" w:eastAsia="华文楷体" w:hAnsi="华文楷体" w:cs="华文楷体"/>
        </w:rPr>
      </w:pPr>
    </w:p>
    <w:p w14:paraId="2C0AE418"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“我预计未来市场化债转股的进程可能会加快，因为各方面的改革都在推进，各方面的配套条件都在完善。”王兆星称。</w:t>
      </w:r>
    </w:p>
    <w:p w14:paraId="38DD2BF6" w14:textId="77777777" w:rsidR="00ED5EBF" w:rsidRDefault="00ED5EBF">
      <w:pPr>
        <w:spacing w:line="360" w:lineRule="auto"/>
        <w:rPr>
          <w:rFonts w:ascii="华文楷体" w:eastAsia="华文楷体" w:hAnsi="华文楷体" w:cs="华文楷体"/>
        </w:rPr>
      </w:pPr>
    </w:p>
    <w:p w14:paraId="17EC3B89"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对于市场化债转股实施机构的落地，他表示，监管部门的方向是希望债转股实施机构的类型要尽可能的多元化，资本和资金来源也要尽可能的多元化。</w:t>
      </w:r>
    </w:p>
    <w:p w14:paraId="5CB4AEF7" w14:textId="77777777" w:rsidR="00ED5EBF" w:rsidRDefault="00ED5EBF">
      <w:pPr>
        <w:spacing w:line="360" w:lineRule="auto"/>
        <w:rPr>
          <w:rFonts w:ascii="华文楷体" w:eastAsia="华文楷体" w:hAnsi="华文楷体" w:cs="华文楷体"/>
        </w:rPr>
      </w:pPr>
    </w:p>
    <w:p w14:paraId="1AA91C6A"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“作为企业降杠杆</w:t>
      </w:r>
      <w:r>
        <w:rPr>
          <w:rFonts w:ascii="华文楷体" w:eastAsia="华文楷体" w:hAnsi="华文楷体" w:cs="华文楷体" w:hint="eastAsia"/>
        </w:rPr>
        <w:t>的重要措施，我们希望市场化债转股可以广泛地吸收社会资金，加快债转股的落地。”王兆星称。</w:t>
      </w:r>
    </w:p>
    <w:p w14:paraId="64B3CA73" w14:textId="77777777" w:rsidR="00ED5EBF" w:rsidRDefault="00ED5EBF">
      <w:pPr>
        <w:spacing w:line="360" w:lineRule="auto"/>
        <w:rPr>
          <w:rFonts w:ascii="华文楷体" w:eastAsia="华文楷体" w:hAnsi="华文楷体" w:cs="华文楷体"/>
        </w:rPr>
      </w:pPr>
    </w:p>
    <w:p w14:paraId="606A839A" w14:textId="77777777" w:rsidR="00ED5EBF" w:rsidRDefault="002034C8">
      <w:pPr>
        <w:spacing w:line="360" w:lineRule="auto"/>
        <w:ind w:firstLine="488"/>
        <w:rPr>
          <w:rFonts w:ascii="华文楷体" w:eastAsia="华文楷体" w:hAnsi="华文楷体" w:cs="华文楷体"/>
        </w:rPr>
      </w:pPr>
      <w:r>
        <w:rPr>
          <w:rFonts w:ascii="华文楷体" w:eastAsia="华文楷体" w:hAnsi="华文楷体" w:cs="华文楷体" w:hint="eastAsia"/>
        </w:rPr>
        <w:t>在回答证券时报记者关于未来是否会有非银行系债转股实施机构落地的提问时，王兆星称，只要符合条件，都有可能成为债转股的实施机构，“包括一些非银行系的金融机构也可以从事市场化债转股的业务，因此不排除未来会出台允许非银行系债转股实施机构落地的措施。”</w:t>
      </w:r>
    </w:p>
    <w:p w14:paraId="7147A560" w14:textId="77777777" w:rsidR="00ED5EBF" w:rsidRDefault="002034C8">
      <w:pPr>
        <w:spacing w:line="360" w:lineRule="auto"/>
        <w:ind w:firstLine="488"/>
        <w:rPr>
          <w:rFonts w:ascii="华文楷体" w:eastAsia="华文楷体" w:hAnsi="华文楷体" w:cs="华文楷体"/>
        </w:rPr>
      </w:pPr>
      <w:r>
        <w:rPr>
          <w:rFonts w:ascii="华文楷体" w:eastAsia="华文楷体" w:hAnsi="华文楷体" w:cs="华文楷体" w:hint="eastAsia"/>
        </w:rPr>
        <w:t>在去年召开的城商行年会上，王兆星曾指出，“当前城商行面临着流动性风险、公司治理能力薄弱等突出问题，特别是流动性风险始终是对中小商业银行最具威胁的风险。”昨日，王兆星强调，银监会一直关注城商行的流动性风险，要求城商行加强资产负债管理并优化资产负债表，鼓励城商行积极、及时地通过利润留存、向社会募集资金补充资本；并根据商业银行股权管理暂行办法的要求，通过设置过渡期稳妥处理部分城商行存在的主要股东违规持股的情况。</w:t>
      </w:r>
    </w:p>
    <w:p w14:paraId="64A04C6F" w14:textId="77777777" w:rsidR="00ED5EBF" w:rsidRDefault="00ED5EBF">
      <w:pPr>
        <w:spacing w:line="360" w:lineRule="auto"/>
        <w:ind w:firstLine="488"/>
        <w:rPr>
          <w:rFonts w:ascii="华文楷体" w:eastAsia="华文楷体" w:hAnsi="华文楷体" w:cs="华文楷体"/>
        </w:rPr>
      </w:pPr>
    </w:p>
    <w:p w14:paraId="74A12233" w14:textId="77777777" w:rsidR="00ED5EBF" w:rsidRDefault="002034C8">
      <w:pPr>
        <w:spacing w:line="360" w:lineRule="auto"/>
        <w:ind w:firstLine="488"/>
        <w:rPr>
          <w:rFonts w:ascii="华文楷体" w:eastAsia="华文楷体" w:hAnsi="华文楷体" w:cs="华文楷体"/>
        </w:rPr>
      </w:pPr>
      <w:r>
        <w:rPr>
          <w:rFonts w:ascii="华文楷体" w:eastAsia="华文楷体" w:hAnsi="华文楷体" w:cs="华文楷体" w:hint="eastAsia"/>
        </w:rPr>
        <w:t xml:space="preserve">　　今年两会期间，针对金融控股公司的管理办法也是业界关注的热点。在被媒体问及银监会对银行股权的监管办</w:t>
      </w:r>
      <w:r>
        <w:rPr>
          <w:rFonts w:ascii="华文楷体" w:eastAsia="华文楷体" w:hAnsi="华文楷体" w:cs="华文楷体" w:hint="eastAsia"/>
        </w:rPr>
        <w:t>法和央行对于金控公司的管理是否相关时，王兆星表示，两者还是有联系的。他认为，两者核心要义都是相似的，都是防止机构被大股东控制、防止内部控制、防止利益输送，同时加强股东内部管理，更好地完善公司治理，防止内部交易，使得金融机构决策更科学。</w:t>
      </w:r>
    </w:p>
    <w:p w14:paraId="64AA0399" w14:textId="77777777" w:rsidR="00ED5EBF" w:rsidRDefault="00ED5EBF">
      <w:pPr>
        <w:spacing w:line="360" w:lineRule="auto"/>
        <w:ind w:firstLine="488"/>
        <w:rPr>
          <w:rFonts w:ascii="华文楷体" w:eastAsia="华文楷体" w:hAnsi="华文楷体" w:cs="华文楷体"/>
        </w:rPr>
      </w:pPr>
    </w:p>
    <w:p w14:paraId="6958F532" w14:textId="77777777" w:rsidR="00ED5EBF" w:rsidRDefault="002034C8">
      <w:pPr>
        <w:spacing w:line="360" w:lineRule="auto"/>
        <w:ind w:firstLine="488"/>
        <w:jc w:val="right"/>
        <w:rPr>
          <w:rFonts w:ascii="华文楷体" w:eastAsia="华文楷体" w:hAnsi="华文楷体" w:cs="华文楷体"/>
        </w:rPr>
      </w:pPr>
      <w:r>
        <w:rPr>
          <w:rFonts w:ascii="华文楷体" w:eastAsia="华文楷体" w:hAnsi="华文楷体" w:cs="华文楷体" w:hint="eastAsia"/>
        </w:rPr>
        <w:t>责任编辑：谢海平</w:t>
      </w:r>
    </w:p>
    <w:p w14:paraId="14C37F98" w14:textId="77777777" w:rsidR="00ED5EBF" w:rsidRDefault="00ED5EBF">
      <w:pPr>
        <w:spacing w:line="360" w:lineRule="auto"/>
        <w:ind w:firstLine="488"/>
        <w:jc w:val="right"/>
        <w:rPr>
          <w:rFonts w:ascii="华文楷体" w:eastAsia="华文楷体" w:hAnsi="华文楷体" w:cs="华文楷体"/>
        </w:rPr>
      </w:pPr>
    </w:p>
    <w:p w14:paraId="2B02AA6F" w14:textId="77777777" w:rsidR="00ED5EBF" w:rsidRDefault="00ED5EBF">
      <w:pPr>
        <w:spacing w:line="360" w:lineRule="auto"/>
        <w:ind w:firstLine="488"/>
        <w:jc w:val="right"/>
        <w:rPr>
          <w:rFonts w:ascii="华文楷体" w:eastAsia="华文楷体" w:hAnsi="华文楷体" w:cs="华文楷体"/>
        </w:rPr>
      </w:pPr>
    </w:p>
    <w:p w14:paraId="2051315A" w14:textId="77777777" w:rsidR="00ED5EBF" w:rsidRDefault="00ED5EBF">
      <w:pPr>
        <w:spacing w:line="360" w:lineRule="auto"/>
        <w:ind w:firstLine="488"/>
        <w:jc w:val="right"/>
        <w:rPr>
          <w:rFonts w:ascii="华文楷体" w:eastAsia="华文楷体" w:hAnsi="华文楷体" w:cs="华文楷体"/>
        </w:rPr>
      </w:pPr>
    </w:p>
    <w:p w14:paraId="65DF190B" w14:textId="77777777" w:rsidR="00ED5EBF" w:rsidRDefault="00ED5EBF">
      <w:pPr>
        <w:spacing w:line="360" w:lineRule="auto"/>
        <w:ind w:firstLine="488"/>
        <w:jc w:val="right"/>
        <w:rPr>
          <w:rFonts w:ascii="华文楷体" w:eastAsia="华文楷体" w:hAnsi="华文楷体" w:cs="华文楷体"/>
        </w:rPr>
      </w:pPr>
    </w:p>
    <w:p w14:paraId="3AD0A28C" w14:textId="77777777" w:rsidR="00ED5EBF" w:rsidRDefault="00ED5EBF">
      <w:pPr>
        <w:spacing w:line="360" w:lineRule="auto"/>
        <w:ind w:firstLine="488"/>
        <w:jc w:val="right"/>
        <w:rPr>
          <w:rFonts w:ascii="华文楷体" w:eastAsia="华文楷体" w:hAnsi="华文楷体" w:cs="华文楷体"/>
        </w:rPr>
      </w:pPr>
    </w:p>
    <w:p w14:paraId="70F8AFBF" w14:textId="77777777" w:rsidR="00ED5EBF" w:rsidRDefault="00ED5EBF">
      <w:pPr>
        <w:spacing w:line="360" w:lineRule="auto"/>
        <w:ind w:firstLine="488"/>
        <w:jc w:val="right"/>
        <w:rPr>
          <w:rFonts w:ascii="华文楷体" w:eastAsia="华文楷体" w:hAnsi="华文楷体" w:cs="华文楷体"/>
        </w:rPr>
      </w:pPr>
    </w:p>
    <w:p w14:paraId="0F7B18E4" w14:textId="77777777" w:rsidR="00ED5EBF" w:rsidRDefault="00ED5EBF">
      <w:pPr>
        <w:spacing w:line="360" w:lineRule="auto"/>
        <w:ind w:firstLine="488"/>
        <w:jc w:val="right"/>
        <w:rPr>
          <w:rFonts w:ascii="华文楷体" w:eastAsia="华文楷体" w:hAnsi="华文楷体" w:cs="华文楷体"/>
        </w:rPr>
      </w:pPr>
    </w:p>
    <w:p w14:paraId="0076A8E4" w14:textId="77777777" w:rsidR="00ED5EBF" w:rsidRDefault="00ED5EBF">
      <w:pPr>
        <w:spacing w:line="360" w:lineRule="auto"/>
        <w:ind w:firstLine="488"/>
        <w:jc w:val="right"/>
        <w:rPr>
          <w:rFonts w:ascii="华文楷体" w:eastAsia="华文楷体" w:hAnsi="华文楷体" w:cs="华文楷体"/>
        </w:rPr>
      </w:pPr>
    </w:p>
    <w:p w14:paraId="6339DFEF" w14:textId="77777777" w:rsidR="00ED5EBF" w:rsidRDefault="002034C8">
      <w:pPr>
        <w:spacing w:line="360" w:lineRule="auto"/>
        <w:ind w:firstLine="488"/>
        <w:jc w:val="center"/>
        <w:rPr>
          <w:rFonts w:ascii="华文中宋" w:eastAsia="华文中宋" w:hAnsi="华文中宋" w:cs="华文中宋"/>
          <w:b/>
          <w:bCs/>
        </w:rPr>
      </w:pPr>
      <w:bookmarkStart w:id="27" w:name="银监会副主席王兆星防止银行被大股东和内部人控制"/>
      <w:r>
        <w:rPr>
          <w:rFonts w:ascii="华文中宋" w:eastAsia="华文中宋" w:hAnsi="华文中宋" w:cs="华文中宋" w:hint="eastAsia"/>
          <w:b/>
          <w:bCs/>
        </w:rPr>
        <w:t>两会独家</w:t>
      </w:r>
      <w:r>
        <w:rPr>
          <w:rFonts w:ascii="华文中宋" w:eastAsia="华文中宋" w:hAnsi="华文中宋" w:cs="华文中宋" w:hint="eastAsia"/>
          <w:b/>
          <w:bCs/>
        </w:rPr>
        <w:t>|</w:t>
      </w:r>
      <w:r>
        <w:rPr>
          <w:rFonts w:ascii="华文中宋" w:eastAsia="华文中宋" w:hAnsi="华文中宋" w:cs="华文中宋" w:hint="eastAsia"/>
          <w:b/>
          <w:bCs/>
        </w:rPr>
        <w:t>银监会副主席王兆星</w:t>
      </w:r>
      <w:r>
        <w:rPr>
          <w:rFonts w:ascii="华文中宋" w:eastAsia="华文中宋" w:hAnsi="华文中宋" w:cs="华文中宋" w:hint="eastAsia"/>
          <w:b/>
          <w:bCs/>
        </w:rPr>
        <w:t xml:space="preserve">: </w:t>
      </w:r>
      <w:r>
        <w:rPr>
          <w:rFonts w:ascii="华文中宋" w:eastAsia="华文中宋" w:hAnsi="华文中宋" w:cs="华文中宋" w:hint="eastAsia"/>
          <w:b/>
          <w:bCs/>
        </w:rPr>
        <w:t>防止银行被大股东和内部人控制</w:t>
      </w:r>
    </w:p>
    <w:bookmarkEnd w:id="27"/>
    <w:p w14:paraId="3E50BB01" w14:textId="77777777" w:rsidR="00ED5EBF" w:rsidRDefault="002034C8">
      <w:pPr>
        <w:spacing w:line="360" w:lineRule="auto"/>
        <w:ind w:firstLine="488"/>
        <w:jc w:val="center"/>
        <w:rPr>
          <w:rFonts w:ascii="华文楷体" w:eastAsia="华文楷体" w:hAnsi="华文楷体" w:cs="华文楷体"/>
          <w:sz w:val="21"/>
          <w:szCs w:val="21"/>
        </w:rPr>
      </w:pPr>
      <w:r>
        <w:rPr>
          <w:rFonts w:ascii="华文楷体" w:eastAsia="华文楷体" w:hAnsi="华文楷体" w:cs="华文楷体" w:hint="eastAsia"/>
          <w:sz w:val="21"/>
          <w:szCs w:val="21"/>
        </w:rPr>
        <w:t>日期：</w:t>
      </w:r>
      <w:r>
        <w:rPr>
          <w:rFonts w:ascii="华文楷体" w:eastAsia="华文楷体" w:hAnsi="华文楷体" w:cs="华文楷体" w:hint="eastAsia"/>
          <w:sz w:val="21"/>
          <w:szCs w:val="21"/>
        </w:rPr>
        <w:t>2018</w:t>
      </w:r>
      <w:r>
        <w:rPr>
          <w:rFonts w:ascii="华文楷体" w:eastAsia="华文楷体" w:hAnsi="华文楷体" w:cs="华文楷体" w:hint="eastAsia"/>
          <w:sz w:val="21"/>
          <w:szCs w:val="21"/>
        </w:rPr>
        <w:t>年</w:t>
      </w:r>
      <w:r>
        <w:rPr>
          <w:rFonts w:ascii="华文楷体" w:eastAsia="华文楷体" w:hAnsi="华文楷体" w:cs="华文楷体" w:hint="eastAsia"/>
          <w:sz w:val="21"/>
          <w:szCs w:val="21"/>
        </w:rPr>
        <w:t>3</w:t>
      </w:r>
      <w:r>
        <w:rPr>
          <w:rFonts w:ascii="华文楷体" w:eastAsia="华文楷体" w:hAnsi="华文楷体" w:cs="华文楷体" w:hint="eastAsia"/>
          <w:sz w:val="21"/>
          <w:szCs w:val="21"/>
        </w:rPr>
        <w:t>月</w:t>
      </w:r>
      <w:r>
        <w:rPr>
          <w:rFonts w:ascii="华文楷体" w:eastAsia="华文楷体" w:hAnsi="华文楷体" w:cs="华文楷体" w:hint="eastAsia"/>
          <w:sz w:val="21"/>
          <w:szCs w:val="21"/>
        </w:rPr>
        <w:t>12</w:t>
      </w:r>
      <w:r>
        <w:rPr>
          <w:rFonts w:ascii="华文楷体" w:eastAsia="华文楷体" w:hAnsi="华文楷体" w:cs="华文楷体" w:hint="eastAsia"/>
          <w:sz w:val="21"/>
          <w:szCs w:val="21"/>
        </w:rPr>
        <w:t>日</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来源：中国经营网</w:t>
      </w:r>
    </w:p>
    <w:p w14:paraId="3A22D8E0" w14:textId="77777777" w:rsidR="00ED5EBF" w:rsidRDefault="00ED5EBF">
      <w:pPr>
        <w:spacing w:line="360" w:lineRule="auto"/>
        <w:ind w:firstLine="488"/>
        <w:jc w:val="center"/>
        <w:rPr>
          <w:rFonts w:ascii="华文楷体" w:eastAsia="华文楷体" w:hAnsi="华文楷体" w:cs="华文楷体"/>
          <w:sz w:val="21"/>
          <w:szCs w:val="21"/>
        </w:rPr>
      </w:pPr>
    </w:p>
    <w:p w14:paraId="65E6D619"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本报特派两会记者</w:t>
      </w:r>
      <w:r>
        <w:rPr>
          <w:rFonts w:ascii="华文楷体" w:eastAsia="华文楷体" w:hAnsi="华文楷体" w:cs="华文楷体" w:hint="eastAsia"/>
        </w:rPr>
        <w:t xml:space="preserve"> </w:t>
      </w:r>
      <w:r>
        <w:rPr>
          <w:rFonts w:ascii="华文楷体" w:eastAsia="华文楷体" w:hAnsi="华文楷体" w:cs="华文楷体" w:hint="eastAsia"/>
        </w:rPr>
        <w:t>张漫游</w:t>
      </w:r>
      <w:r>
        <w:rPr>
          <w:rFonts w:ascii="华文楷体" w:eastAsia="华文楷体" w:hAnsi="华文楷体" w:cs="华文楷体" w:hint="eastAsia"/>
        </w:rPr>
        <w:t xml:space="preserve"> </w:t>
      </w:r>
      <w:r>
        <w:rPr>
          <w:rFonts w:ascii="华文楷体" w:eastAsia="华文楷体" w:hAnsi="华文楷体" w:cs="华文楷体" w:hint="eastAsia"/>
        </w:rPr>
        <w:t>北京报道</w:t>
      </w:r>
    </w:p>
    <w:p w14:paraId="63B07D48" w14:textId="77777777" w:rsidR="00ED5EBF" w:rsidRDefault="00ED5EBF">
      <w:pPr>
        <w:spacing w:line="360" w:lineRule="auto"/>
        <w:ind w:firstLineChars="200" w:firstLine="480"/>
        <w:rPr>
          <w:rFonts w:ascii="华文楷体" w:eastAsia="华文楷体" w:hAnsi="华文楷体" w:cs="华文楷体"/>
        </w:rPr>
      </w:pPr>
    </w:p>
    <w:p w14:paraId="04C32B32"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关于银监会对银行股权的监管办法和中国人民银行对于金控公司的管理的是否相关，</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12</w:t>
      </w:r>
      <w:r>
        <w:rPr>
          <w:rFonts w:ascii="华文楷体" w:eastAsia="华文楷体" w:hAnsi="华文楷体" w:cs="华文楷体" w:hint="eastAsia"/>
        </w:rPr>
        <w:t>日，《中国经营报》记者就此采访了银监会副主席王兆星，王兆星表示，两者还是有联系的。他认为，两者核心要义都是相似的，都是防止机构被大股东控制、防止内部控制、防止利益输送，同时加强股东内部管理，为了更好地完善公司治理，防止内部交易，使得金融机构决策更科学。</w:t>
      </w:r>
    </w:p>
    <w:p w14:paraId="4E5CD031" w14:textId="77777777" w:rsidR="00ED5EBF" w:rsidRDefault="00ED5EBF">
      <w:pPr>
        <w:spacing w:line="360" w:lineRule="auto"/>
        <w:ind w:firstLineChars="200" w:firstLine="480"/>
        <w:rPr>
          <w:rFonts w:ascii="华文楷体" w:eastAsia="华文楷体" w:hAnsi="华文楷体" w:cs="华文楷体"/>
        </w:rPr>
      </w:pPr>
    </w:p>
    <w:p w14:paraId="59ABB606"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9</w:t>
      </w:r>
      <w:r>
        <w:rPr>
          <w:rFonts w:ascii="华文楷体" w:eastAsia="华文楷体" w:hAnsi="华文楷体" w:cs="华文楷体" w:hint="eastAsia"/>
        </w:rPr>
        <w:t>日，中国银监会推出了《中国银监会办公厅关于做好〈商业银行股权管理暂行办法〉实施相关工作的通知》（以下简称“《实施通知》”）与《中国银监会办公厅关于规范商业银行股东报告事</w:t>
      </w:r>
      <w:r>
        <w:rPr>
          <w:rFonts w:ascii="华文楷体" w:eastAsia="华文楷体" w:hAnsi="华文楷体" w:cs="华文楷体" w:hint="eastAsia"/>
        </w:rPr>
        <w:t>项的通知》。同日，央行副行长、国家外汇管理局局长潘功胜披露道，央行在正会同相关部门制定金融控股公司监管规则。</w:t>
      </w:r>
    </w:p>
    <w:p w14:paraId="2B72F64C" w14:textId="77777777" w:rsidR="00ED5EBF" w:rsidRDefault="00ED5EBF">
      <w:pPr>
        <w:spacing w:line="360" w:lineRule="auto"/>
        <w:ind w:firstLineChars="200" w:firstLine="480"/>
        <w:rPr>
          <w:rFonts w:ascii="华文楷体" w:eastAsia="华文楷体" w:hAnsi="华文楷体" w:cs="华文楷体"/>
        </w:rPr>
      </w:pPr>
    </w:p>
    <w:p w14:paraId="745F8D95"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《实施通知》显示，单一投资人、发行人或管理人及其实际控制人、关联方、一致行动人控制的金融产品持有同一银行股份超过</w:t>
      </w:r>
      <w:r>
        <w:rPr>
          <w:rFonts w:ascii="华文楷体" w:eastAsia="华文楷体" w:hAnsi="华文楷体" w:cs="华文楷体" w:hint="eastAsia"/>
        </w:rPr>
        <w:t>5%</w:t>
      </w:r>
      <w:r>
        <w:rPr>
          <w:rFonts w:ascii="华文楷体" w:eastAsia="华文楷体" w:hAnsi="华文楷体" w:cs="华文楷体" w:hint="eastAsia"/>
        </w:rPr>
        <w:t>，预留一年时间进行整改。</w:t>
      </w:r>
    </w:p>
    <w:p w14:paraId="10C79461" w14:textId="77777777" w:rsidR="00ED5EBF" w:rsidRDefault="00ED5EBF">
      <w:pPr>
        <w:spacing w:line="360" w:lineRule="auto"/>
        <w:ind w:firstLineChars="200" w:firstLine="480"/>
        <w:rPr>
          <w:rFonts w:ascii="华文楷体" w:eastAsia="华文楷体" w:hAnsi="华文楷体" w:cs="华文楷体"/>
        </w:rPr>
      </w:pPr>
    </w:p>
    <w:p w14:paraId="5393FB78"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银监会相关负责人表示，持股比例和持股数量被动增加的除外。持股比例被动增加，主要指因其他股东持股变化，导致该主要股东持股比例增加的情形；持股数量被动增加，主要指因配股等情形，导致该主要股东持股数量增加。</w:t>
      </w:r>
    </w:p>
    <w:p w14:paraId="6F230734"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今年</w:t>
      </w:r>
      <w:r>
        <w:rPr>
          <w:rFonts w:ascii="华文楷体" w:eastAsia="华文楷体" w:hAnsi="华文楷体" w:cs="华文楷体" w:hint="eastAsia"/>
        </w:rPr>
        <w:t>1</w:t>
      </w:r>
      <w:r>
        <w:rPr>
          <w:rFonts w:ascii="华文楷体" w:eastAsia="华文楷体" w:hAnsi="华文楷体" w:cs="华文楷体" w:hint="eastAsia"/>
        </w:rPr>
        <w:t>月</w:t>
      </w:r>
      <w:r>
        <w:rPr>
          <w:rFonts w:ascii="华文楷体" w:eastAsia="华文楷体" w:hAnsi="华文楷体" w:cs="华文楷体" w:hint="eastAsia"/>
        </w:rPr>
        <w:t>5</w:t>
      </w:r>
      <w:r>
        <w:rPr>
          <w:rFonts w:ascii="华文楷体" w:eastAsia="华文楷体" w:hAnsi="华文楷体" w:cs="华文楷体" w:hint="eastAsia"/>
        </w:rPr>
        <w:t>日，出台了《商业银行股权管理暂行办法》（下文</w:t>
      </w:r>
      <w:r>
        <w:rPr>
          <w:rFonts w:ascii="华文楷体" w:eastAsia="华文楷体" w:hAnsi="华文楷体" w:cs="华文楷体" w:hint="eastAsia"/>
        </w:rPr>
        <w:t>简称“《办法》”），原则上要在</w:t>
      </w:r>
      <w:r>
        <w:rPr>
          <w:rFonts w:ascii="华文楷体" w:eastAsia="华文楷体" w:hAnsi="华文楷体" w:cs="华文楷体" w:hint="eastAsia"/>
        </w:rPr>
        <w:t>2019</w:t>
      </w:r>
      <w:r>
        <w:rPr>
          <w:rFonts w:ascii="华文楷体" w:eastAsia="华文楷体" w:hAnsi="华文楷体" w:cs="华文楷体" w:hint="eastAsia"/>
        </w:rPr>
        <w:t>年</w:t>
      </w:r>
      <w:r>
        <w:rPr>
          <w:rFonts w:ascii="华文楷体" w:eastAsia="华文楷体" w:hAnsi="华文楷体" w:cs="华文楷体" w:hint="eastAsia"/>
        </w:rPr>
        <w:t>1</w:t>
      </w:r>
      <w:r>
        <w:rPr>
          <w:rFonts w:ascii="华文楷体" w:eastAsia="华文楷体" w:hAnsi="华文楷体" w:cs="华文楷体" w:hint="eastAsia"/>
        </w:rPr>
        <w:t>月</w:t>
      </w:r>
      <w:r>
        <w:rPr>
          <w:rFonts w:ascii="华文楷体" w:eastAsia="华文楷体" w:hAnsi="华文楷体" w:cs="华文楷体" w:hint="eastAsia"/>
        </w:rPr>
        <w:t>5</w:t>
      </w:r>
      <w:r>
        <w:rPr>
          <w:rFonts w:ascii="华文楷体" w:eastAsia="华文楷体" w:hAnsi="华文楷体" w:cs="华文楷体" w:hint="eastAsia"/>
        </w:rPr>
        <w:t>日之前完成整改，《实施通知》是其配套文件。</w:t>
      </w:r>
    </w:p>
    <w:p w14:paraId="2DD84336" w14:textId="77777777" w:rsidR="00ED5EBF" w:rsidRDefault="00ED5EBF">
      <w:pPr>
        <w:spacing w:line="360" w:lineRule="auto"/>
        <w:ind w:firstLineChars="200" w:firstLine="480"/>
        <w:rPr>
          <w:rFonts w:ascii="华文楷体" w:eastAsia="华文楷体" w:hAnsi="华文楷体" w:cs="华文楷体"/>
        </w:rPr>
      </w:pPr>
    </w:p>
    <w:p w14:paraId="5C97490E"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在关联授信方面，《办法》明确了授信限额，要求商业银行对主要股东或其控股股东、实际控制人、关联方、一致行动人、最终受益人等单个主体的授信余额不得超过商业银行资本净额的</w:t>
      </w:r>
      <w:r>
        <w:rPr>
          <w:rFonts w:ascii="华文楷体" w:eastAsia="华文楷体" w:hAnsi="华文楷体" w:cs="华文楷体" w:hint="eastAsia"/>
        </w:rPr>
        <w:t>10%</w:t>
      </w:r>
      <w:r>
        <w:rPr>
          <w:rFonts w:ascii="华文楷体" w:eastAsia="华文楷体" w:hAnsi="华文楷体" w:cs="华文楷体" w:hint="eastAsia"/>
        </w:rPr>
        <w:t>；对单个主要股东及其控股股东、实际控制人、关联方、一致行动人、最终受益人的合计授信余额不得超过商业银行资本净额的</w:t>
      </w:r>
      <w:r>
        <w:rPr>
          <w:rFonts w:ascii="华文楷体" w:eastAsia="华文楷体" w:hAnsi="华文楷体" w:cs="华文楷体" w:hint="eastAsia"/>
        </w:rPr>
        <w:t>15%</w:t>
      </w:r>
      <w:r>
        <w:rPr>
          <w:rFonts w:ascii="华文楷体" w:eastAsia="华文楷体" w:hAnsi="华文楷体" w:cs="华文楷体" w:hint="eastAsia"/>
        </w:rPr>
        <w:t>。</w:t>
      </w:r>
    </w:p>
    <w:p w14:paraId="32DA8124" w14:textId="77777777" w:rsidR="00ED5EBF" w:rsidRDefault="00ED5EBF">
      <w:pPr>
        <w:spacing w:line="360" w:lineRule="auto"/>
        <w:ind w:firstLineChars="200" w:firstLine="480"/>
        <w:rPr>
          <w:rFonts w:ascii="华文楷体" w:eastAsia="华文楷体" w:hAnsi="华文楷体" w:cs="华文楷体"/>
        </w:rPr>
      </w:pPr>
    </w:p>
    <w:p w14:paraId="039920DE"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此外，《实施通知》明确，在《办法》施行前，未经批准单独或合计持有商业银行资本总额或股份总额百分之五以上的股东，应于《办法》施行</w:t>
      </w:r>
      <w:r>
        <w:rPr>
          <w:rFonts w:ascii="华文楷体" w:eastAsia="华文楷体" w:hAnsi="华文楷体" w:cs="华文楷体" w:hint="eastAsia"/>
        </w:rPr>
        <w:t>之日起六个月内（也就是</w:t>
      </w:r>
      <w:r>
        <w:rPr>
          <w:rFonts w:ascii="华文楷体" w:eastAsia="华文楷体" w:hAnsi="华文楷体" w:cs="华文楷体" w:hint="eastAsia"/>
        </w:rPr>
        <w:t>2018</w:t>
      </w:r>
      <w:r>
        <w:rPr>
          <w:rFonts w:ascii="华文楷体" w:eastAsia="华文楷体" w:hAnsi="华文楷体" w:cs="华文楷体" w:hint="eastAsia"/>
        </w:rPr>
        <w:t>年</w:t>
      </w:r>
      <w:r>
        <w:rPr>
          <w:rFonts w:ascii="华文楷体" w:eastAsia="华文楷体" w:hAnsi="华文楷体" w:cs="华文楷体" w:hint="eastAsia"/>
        </w:rPr>
        <w:t>7</w:t>
      </w:r>
      <w:r>
        <w:rPr>
          <w:rFonts w:ascii="华文楷体" w:eastAsia="华文楷体" w:hAnsi="华文楷体" w:cs="华文楷体" w:hint="eastAsia"/>
        </w:rPr>
        <w:t>月</w:t>
      </w:r>
      <w:r>
        <w:rPr>
          <w:rFonts w:ascii="华文楷体" w:eastAsia="华文楷体" w:hAnsi="华文楷体" w:cs="华文楷体" w:hint="eastAsia"/>
        </w:rPr>
        <w:t>5</w:t>
      </w:r>
      <w:r>
        <w:rPr>
          <w:rFonts w:ascii="华文楷体" w:eastAsia="华文楷体" w:hAnsi="华文楷体" w:cs="华文楷体" w:hint="eastAsia"/>
        </w:rPr>
        <w:t>日之前）通过商业银行向银监会或其派出机构提出股东资格申请。提出申请但经审核不符合股东资格条件的，由银监会或其派出机构责令限期改正。限期未改正或未按时提出行政许可申请的，由银监会或其派出机构依照《商业银行法》第七十九条规定进行查处。</w:t>
      </w:r>
    </w:p>
    <w:p w14:paraId="248E8F82" w14:textId="77777777" w:rsidR="00ED5EBF" w:rsidRDefault="00ED5EBF">
      <w:pPr>
        <w:spacing w:line="360" w:lineRule="auto"/>
        <w:ind w:firstLineChars="200" w:firstLine="480"/>
        <w:rPr>
          <w:rFonts w:ascii="华文楷体" w:eastAsia="华文楷体" w:hAnsi="华文楷体" w:cs="华文楷体"/>
        </w:rPr>
      </w:pPr>
    </w:p>
    <w:p w14:paraId="0C24442C" w14:textId="77777777" w:rsidR="00ED5EBF" w:rsidRDefault="00ED5EBF">
      <w:pPr>
        <w:spacing w:line="360" w:lineRule="auto"/>
        <w:ind w:firstLineChars="200" w:firstLine="480"/>
        <w:rPr>
          <w:rFonts w:ascii="华文楷体" w:eastAsia="华文楷体" w:hAnsi="华文楷体" w:cs="华文楷体"/>
        </w:rPr>
      </w:pPr>
    </w:p>
    <w:p w14:paraId="66580C92" w14:textId="77777777" w:rsidR="00ED5EBF" w:rsidRDefault="00ED5EBF">
      <w:pPr>
        <w:spacing w:line="360" w:lineRule="auto"/>
        <w:ind w:firstLineChars="200" w:firstLine="480"/>
        <w:rPr>
          <w:rFonts w:ascii="华文楷体" w:eastAsia="华文楷体" w:hAnsi="华文楷体" w:cs="华文楷体"/>
        </w:rPr>
      </w:pPr>
    </w:p>
    <w:p w14:paraId="5AE72CE8" w14:textId="77777777" w:rsidR="00ED5EBF" w:rsidRDefault="00ED5EBF">
      <w:pPr>
        <w:spacing w:line="360" w:lineRule="auto"/>
        <w:ind w:firstLineChars="200" w:firstLine="480"/>
        <w:rPr>
          <w:rFonts w:ascii="华文楷体" w:eastAsia="华文楷体" w:hAnsi="华文楷体" w:cs="华文楷体"/>
        </w:rPr>
      </w:pPr>
    </w:p>
    <w:p w14:paraId="71B2A163" w14:textId="77777777" w:rsidR="00ED5EBF" w:rsidRDefault="00ED5EBF">
      <w:pPr>
        <w:spacing w:line="360" w:lineRule="auto"/>
        <w:ind w:firstLineChars="200" w:firstLine="480"/>
        <w:rPr>
          <w:rFonts w:ascii="华文楷体" w:eastAsia="华文楷体" w:hAnsi="华文楷体" w:cs="华文楷体"/>
        </w:rPr>
      </w:pPr>
    </w:p>
    <w:p w14:paraId="6CE63C63" w14:textId="77777777" w:rsidR="00ED5EBF" w:rsidRDefault="00ED5EBF">
      <w:pPr>
        <w:spacing w:line="360" w:lineRule="auto"/>
        <w:ind w:firstLineChars="200" w:firstLine="480"/>
        <w:rPr>
          <w:rFonts w:ascii="华文楷体" w:eastAsia="华文楷体" w:hAnsi="华文楷体" w:cs="华文楷体"/>
        </w:rPr>
      </w:pPr>
    </w:p>
    <w:p w14:paraId="57A791AF" w14:textId="77777777" w:rsidR="00ED5EBF" w:rsidRDefault="00ED5EBF">
      <w:pPr>
        <w:spacing w:line="360" w:lineRule="auto"/>
        <w:ind w:firstLineChars="200" w:firstLine="480"/>
        <w:rPr>
          <w:rFonts w:ascii="华文楷体" w:eastAsia="华文楷体" w:hAnsi="华文楷体" w:cs="华文楷体"/>
        </w:rPr>
      </w:pPr>
    </w:p>
    <w:p w14:paraId="528CB9D2" w14:textId="77777777" w:rsidR="00ED5EBF" w:rsidRDefault="002034C8">
      <w:pPr>
        <w:spacing w:line="360" w:lineRule="auto"/>
        <w:ind w:right="357" w:firstLineChars="200" w:firstLine="480"/>
        <w:jc w:val="center"/>
        <w:rPr>
          <w:rFonts w:ascii="华文中宋" w:eastAsia="华文中宋" w:hAnsi="华文中宋" w:cs="华文中宋"/>
          <w:b/>
        </w:rPr>
      </w:pPr>
      <w:bookmarkStart w:id="28" w:name="银监会：商业银行股权管理明确“存量违规”清理规则"/>
      <w:r>
        <w:rPr>
          <w:rFonts w:ascii="华文中宋" w:eastAsia="华文中宋" w:hAnsi="华文中宋" w:cs="华文中宋" w:hint="eastAsia"/>
          <w:b/>
        </w:rPr>
        <w:t>银监会：商业银行股权管理明确“存量违规”清理规则</w:t>
      </w:r>
    </w:p>
    <w:bookmarkEnd w:id="28"/>
    <w:p w14:paraId="7BC17F8F" w14:textId="77777777" w:rsidR="00ED5EBF" w:rsidRDefault="002034C8">
      <w:pPr>
        <w:spacing w:line="360" w:lineRule="auto"/>
        <w:ind w:right="357" w:firstLineChars="200" w:firstLine="360"/>
        <w:jc w:val="center"/>
        <w:rPr>
          <w:rFonts w:ascii="华文楷体" w:eastAsia="华文楷体" w:hAnsi="华文楷体"/>
          <w:sz w:val="18"/>
          <w:szCs w:val="18"/>
        </w:rPr>
      </w:pPr>
      <w:r>
        <w:rPr>
          <w:rFonts w:ascii="华文楷体" w:eastAsia="华文楷体" w:hAnsi="华文楷体" w:hint="eastAsia"/>
          <w:sz w:val="18"/>
          <w:szCs w:val="18"/>
        </w:rPr>
        <w:t>时间：</w:t>
      </w:r>
      <w:r>
        <w:rPr>
          <w:rFonts w:ascii="华文楷体" w:eastAsia="华文楷体" w:hAnsi="华文楷体" w:hint="eastAsia"/>
          <w:sz w:val="18"/>
          <w:szCs w:val="18"/>
        </w:rPr>
        <w:t xml:space="preserve">2018-03-12  </w:t>
      </w:r>
      <w:r>
        <w:rPr>
          <w:rFonts w:ascii="华文楷体" w:eastAsia="华文楷体" w:hAnsi="华文楷体" w:hint="eastAsia"/>
          <w:sz w:val="18"/>
          <w:szCs w:val="18"/>
        </w:rPr>
        <w:t>来源：金融时报</w:t>
      </w:r>
    </w:p>
    <w:p w14:paraId="49477BB9"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关于有序清理商业银行存量违规持股与违规授信的规则终于明确。近日，银监会发布《中国银监会办公厅关于做好〈商业银行股权管理暂行办法〉实施相关工作的通知》（以下简称《实施通知》）和《中国银监会办公厅关于规范商业银行股东报告事项的通知》（以下简称《报告通知》）两个配套文件，以落实《商业银行股权管理暂行办法》（以下简称《办法》）的相关要求。</w:t>
      </w:r>
    </w:p>
    <w:p w14:paraId="56623BE7" w14:textId="77777777" w:rsidR="00ED5EBF" w:rsidRDefault="00ED5EBF">
      <w:pPr>
        <w:spacing w:line="360" w:lineRule="auto"/>
        <w:ind w:right="357" w:firstLineChars="200" w:firstLine="480"/>
        <w:rPr>
          <w:rFonts w:ascii="华文楷体" w:eastAsia="华文楷体" w:hAnsi="华文楷体"/>
        </w:rPr>
      </w:pPr>
    </w:p>
    <w:p w14:paraId="11A0E2A4"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“《办法》及其两个配套文件的出台是加强金融监管的措施之一，通过规范商业银行股东特别是主要股东行为，加强股东资质的穿透审查，加大对违法违规行为的查处力度，保护商业银行存款人和其他</w:t>
      </w:r>
      <w:r>
        <w:rPr>
          <w:rFonts w:ascii="华文楷体" w:eastAsia="华文楷体" w:hAnsi="华文楷体" w:hint="eastAsia"/>
        </w:rPr>
        <w:t>客户合法权益，可以从源头控制重大风险的形成，为商业银行安全稳健运行创造更为良好的制度条件。”</w:t>
      </w:r>
      <w:r>
        <w:rPr>
          <w:rFonts w:ascii="华文楷体" w:eastAsia="华文楷体" w:hAnsi="华文楷体" w:hint="eastAsia"/>
        </w:rPr>
        <w:t xml:space="preserve"> </w:t>
      </w:r>
      <w:r>
        <w:rPr>
          <w:rFonts w:ascii="华文楷体" w:eastAsia="华文楷体" w:hAnsi="华文楷体" w:hint="eastAsia"/>
        </w:rPr>
        <w:t>国家金融与发展实验室银行研究中心主任曾刚在接受记者采访时表示。</w:t>
      </w:r>
    </w:p>
    <w:p w14:paraId="64235942" w14:textId="77777777" w:rsidR="00ED5EBF" w:rsidRDefault="00ED5EBF">
      <w:pPr>
        <w:spacing w:line="360" w:lineRule="auto"/>
        <w:ind w:right="357" w:firstLineChars="200" w:firstLine="480"/>
        <w:rPr>
          <w:rFonts w:ascii="华文楷体" w:eastAsia="华文楷体" w:hAnsi="华文楷体"/>
        </w:rPr>
      </w:pPr>
    </w:p>
    <w:p w14:paraId="3B243535"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“分类监管”补短板</w:t>
      </w:r>
    </w:p>
    <w:p w14:paraId="771A123C" w14:textId="77777777" w:rsidR="00ED5EBF" w:rsidRDefault="00ED5EBF">
      <w:pPr>
        <w:spacing w:line="360" w:lineRule="auto"/>
        <w:ind w:right="357" w:firstLineChars="200" w:firstLine="480"/>
        <w:rPr>
          <w:rFonts w:ascii="华文楷体" w:eastAsia="华文楷体" w:hAnsi="华文楷体"/>
        </w:rPr>
      </w:pPr>
    </w:p>
    <w:p w14:paraId="3E3A7BC9"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今年年初，《办法》正式出台，引发业内广泛关注。</w:t>
      </w:r>
      <w:r>
        <w:rPr>
          <w:rFonts w:ascii="华文楷体" w:eastAsia="华文楷体" w:hAnsi="华文楷体" w:hint="eastAsia"/>
        </w:rPr>
        <w:t>3</w:t>
      </w:r>
      <w:r>
        <w:rPr>
          <w:rFonts w:ascii="华文楷体" w:eastAsia="华文楷体" w:hAnsi="华文楷体" w:hint="eastAsia"/>
        </w:rPr>
        <w:t>月</w:t>
      </w:r>
      <w:r>
        <w:rPr>
          <w:rFonts w:ascii="华文楷体" w:eastAsia="华文楷体" w:hAnsi="华文楷体" w:hint="eastAsia"/>
        </w:rPr>
        <w:t>2</w:t>
      </w:r>
      <w:r>
        <w:rPr>
          <w:rFonts w:ascii="华文楷体" w:eastAsia="华文楷体" w:hAnsi="华文楷体" w:hint="eastAsia"/>
        </w:rPr>
        <w:t>日，银监会法规部主任刘福寿在“银监会化解金融风险</w:t>
      </w:r>
      <w:r>
        <w:rPr>
          <w:rFonts w:ascii="华文楷体" w:eastAsia="华文楷体" w:hAnsi="华文楷体" w:hint="eastAsia"/>
        </w:rPr>
        <w:t xml:space="preserve"> </w:t>
      </w:r>
      <w:r>
        <w:rPr>
          <w:rFonts w:ascii="华文楷体" w:eastAsia="华文楷体" w:hAnsi="华文楷体" w:hint="eastAsia"/>
        </w:rPr>
        <w:t>引领银行业服务经济高质量发展”发布会上表示，将着重从六个方面推动《办法》的实施，并研究制定《实施通知》和《报告通知》两个配套文件。</w:t>
      </w:r>
    </w:p>
    <w:p w14:paraId="64ABAEC0" w14:textId="77777777" w:rsidR="00ED5EBF" w:rsidRDefault="00ED5EBF">
      <w:pPr>
        <w:spacing w:line="360" w:lineRule="auto"/>
        <w:ind w:right="357" w:firstLineChars="200" w:firstLine="480"/>
        <w:rPr>
          <w:rFonts w:ascii="华文楷体" w:eastAsia="华文楷体" w:hAnsi="华文楷体"/>
        </w:rPr>
      </w:pPr>
    </w:p>
    <w:p w14:paraId="295BE8B3"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如今，两个配套文件如约而至。曾刚认为，配套文件既包括短期内对银行市场存量股权问题化解的具体安排</w:t>
      </w:r>
      <w:r>
        <w:rPr>
          <w:rFonts w:ascii="华文楷体" w:eastAsia="华文楷体" w:hAnsi="华文楷体" w:hint="eastAsia"/>
        </w:rPr>
        <w:t>，也包括今年银行股权现场检查监管的重要内容以及下一步强化股权管理长效机制的建立，内容十分丰富。</w:t>
      </w:r>
    </w:p>
    <w:p w14:paraId="45FAD28D" w14:textId="77777777" w:rsidR="00ED5EBF" w:rsidRDefault="00ED5EBF">
      <w:pPr>
        <w:spacing w:line="360" w:lineRule="auto"/>
        <w:ind w:right="357" w:firstLineChars="200" w:firstLine="480"/>
        <w:rPr>
          <w:rFonts w:ascii="华文楷体" w:eastAsia="华文楷体" w:hAnsi="华文楷体"/>
        </w:rPr>
      </w:pPr>
    </w:p>
    <w:p w14:paraId="426C358D"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总体来看，《实施通知》主要是就《办法》实施前后涉及的重点问题明确监管要求。对于不完全符合《办法》规定的商业银行现有股东，银监会将按照“依法合规、分类处置、稳妥推进、保持稳定”的原则，有序开展清理规范工作。</w:t>
      </w:r>
    </w:p>
    <w:p w14:paraId="4C4F4341" w14:textId="77777777" w:rsidR="00ED5EBF" w:rsidRDefault="00ED5EBF">
      <w:pPr>
        <w:spacing w:line="360" w:lineRule="auto"/>
        <w:ind w:right="357" w:firstLineChars="200" w:firstLine="480"/>
        <w:rPr>
          <w:rFonts w:ascii="华文楷体" w:eastAsia="华文楷体" w:hAnsi="华文楷体"/>
        </w:rPr>
      </w:pPr>
    </w:p>
    <w:p w14:paraId="17D3F712"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而《报告通知》则主要明确了《办法》中规定的持有商业银行资本总额或股份总额</w:t>
      </w:r>
      <w:r>
        <w:rPr>
          <w:rFonts w:ascii="华文楷体" w:eastAsia="华文楷体" w:hAnsi="华文楷体" w:hint="eastAsia"/>
        </w:rPr>
        <w:t>1%</w:t>
      </w:r>
      <w:r>
        <w:rPr>
          <w:rFonts w:ascii="华文楷体" w:eastAsia="华文楷体" w:hAnsi="华文楷体" w:hint="eastAsia"/>
        </w:rPr>
        <w:t>以上、</w:t>
      </w:r>
      <w:r>
        <w:rPr>
          <w:rFonts w:ascii="华文楷体" w:eastAsia="华文楷体" w:hAnsi="华文楷体" w:hint="eastAsia"/>
        </w:rPr>
        <w:t>5%</w:t>
      </w:r>
      <w:r>
        <w:rPr>
          <w:rFonts w:ascii="华文楷体" w:eastAsia="华文楷体" w:hAnsi="华文楷体" w:hint="eastAsia"/>
        </w:rPr>
        <w:t>以下股东报告的程序和要求，加强事中事后监管，防止规避监管现象。</w:t>
      </w:r>
    </w:p>
    <w:p w14:paraId="39BA3AF1" w14:textId="77777777" w:rsidR="00ED5EBF" w:rsidRDefault="00ED5EBF">
      <w:pPr>
        <w:spacing w:line="360" w:lineRule="auto"/>
        <w:ind w:right="357" w:firstLineChars="200" w:firstLine="480"/>
        <w:rPr>
          <w:rFonts w:ascii="华文楷体" w:eastAsia="华文楷体" w:hAnsi="华文楷体"/>
        </w:rPr>
      </w:pPr>
    </w:p>
    <w:p w14:paraId="3873FB61"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值得一提的是，根据两类股东在核准、报备要求上的差异，《</w:t>
      </w:r>
      <w:r>
        <w:rPr>
          <w:rFonts w:ascii="华文楷体" w:eastAsia="华文楷体" w:hAnsi="华文楷体" w:hint="eastAsia"/>
        </w:rPr>
        <w:t>实施通知》对两类股东分别提出了不同的监管要求。</w:t>
      </w:r>
    </w:p>
    <w:p w14:paraId="547F8B2F" w14:textId="77777777" w:rsidR="00ED5EBF" w:rsidRDefault="00ED5EBF">
      <w:pPr>
        <w:spacing w:line="360" w:lineRule="auto"/>
        <w:ind w:right="357" w:firstLineChars="200" w:firstLine="480"/>
        <w:rPr>
          <w:rFonts w:ascii="华文楷体" w:eastAsia="华文楷体" w:hAnsi="华文楷体"/>
        </w:rPr>
      </w:pPr>
    </w:p>
    <w:p w14:paraId="3C0B66D6"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对于商业银行股东及其关联方、一致行动人（以下简称“股东”）单独或合计持有商业银行资本总额或股份总额</w:t>
      </w:r>
      <w:r>
        <w:rPr>
          <w:rFonts w:ascii="华文楷体" w:eastAsia="华文楷体" w:hAnsi="华文楷体" w:hint="eastAsia"/>
        </w:rPr>
        <w:t>5%</w:t>
      </w:r>
      <w:r>
        <w:rPr>
          <w:rFonts w:ascii="华文楷体" w:eastAsia="华文楷体" w:hAnsi="华文楷体" w:hint="eastAsia"/>
        </w:rPr>
        <w:t>以上的，《实施通知》要求商业银行应在</w:t>
      </w:r>
      <w:r>
        <w:rPr>
          <w:rFonts w:ascii="华文楷体" w:eastAsia="华文楷体" w:hAnsi="华文楷体" w:hint="eastAsia"/>
        </w:rPr>
        <w:t>2018</w:t>
      </w:r>
      <w:r>
        <w:rPr>
          <w:rFonts w:ascii="华文楷体" w:eastAsia="华文楷体" w:hAnsi="华文楷体" w:hint="eastAsia"/>
        </w:rPr>
        <w:t>年</w:t>
      </w:r>
      <w:r>
        <w:rPr>
          <w:rFonts w:ascii="华文楷体" w:eastAsia="华文楷体" w:hAnsi="华文楷体" w:hint="eastAsia"/>
        </w:rPr>
        <w:t>4</w:t>
      </w:r>
      <w:r>
        <w:rPr>
          <w:rFonts w:ascii="华文楷体" w:eastAsia="华文楷体" w:hAnsi="华文楷体" w:hint="eastAsia"/>
        </w:rPr>
        <w:t>月</w:t>
      </w:r>
      <w:r>
        <w:rPr>
          <w:rFonts w:ascii="华文楷体" w:eastAsia="华文楷体" w:hAnsi="华文楷体" w:hint="eastAsia"/>
        </w:rPr>
        <w:t>5</w:t>
      </w:r>
      <w:r>
        <w:rPr>
          <w:rFonts w:ascii="华文楷体" w:eastAsia="华文楷体" w:hAnsi="华文楷体" w:hint="eastAsia"/>
        </w:rPr>
        <w:t>日前（即《办法》施行</w:t>
      </w:r>
      <w:r>
        <w:rPr>
          <w:rFonts w:ascii="华文楷体" w:eastAsia="华文楷体" w:hAnsi="华文楷体" w:hint="eastAsia"/>
        </w:rPr>
        <w:t>3</w:t>
      </w:r>
      <w:r>
        <w:rPr>
          <w:rFonts w:ascii="华文楷体" w:eastAsia="华文楷体" w:hAnsi="华文楷体" w:hint="eastAsia"/>
        </w:rPr>
        <w:t>个月内）将“主要股东及其控股股东、实际控制人、关联方、一致行动人、最终受益人信息”报送银监会或派出机构。</w:t>
      </w:r>
    </w:p>
    <w:p w14:paraId="1C74F4A3" w14:textId="77777777" w:rsidR="00ED5EBF" w:rsidRDefault="00ED5EBF">
      <w:pPr>
        <w:spacing w:line="360" w:lineRule="auto"/>
        <w:ind w:right="357" w:firstLineChars="200" w:firstLine="480"/>
        <w:rPr>
          <w:rFonts w:ascii="华文楷体" w:eastAsia="华文楷体" w:hAnsi="华文楷体"/>
        </w:rPr>
      </w:pPr>
    </w:p>
    <w:p w14:paraId="4DD9E356"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对于股东持股商业银行资本总额或股份总额</w:t>
      </w:r>
      <w:r>
        <w:rPr>
          <w:rFonts w:ascii="华文楷体" w:eastAsia="华文楷体" w:hAnsi="华文楷体" w:hint="eastAsia"/>
        </w:rPr>
        <w:t>1%</w:t>
      </w:r>
      <w:r>
        <w:rPr>
          <w:rFonts w:ascii="华文楷体" w:eastAsia="华文楷体" w:hAnsi="华文楷体" w:hint="eastAsia"/>
        </w:rPr>
        <w:t>以上、</w:t>
      </w:r>
      <w:r>
        <w:rPr>
          <w:rFonts w:ascii="华文楷体" w:eastAsia="华文楷体" w:hAnsi="华文楷体" w:hint="eastAsia"/>
        </w:rPr>
        <w:t>5%</w:t>
      </w:r>
      <w:r>
        <w:rPr>
          <w:rFonts w:ascii="华文楷体" w:eastAsia="华文楷体" w:hAnsi="华文楷体" w:hint="eastAsia"/>
        </w:rPr>
        <w:t>以下的，《报告通知》要求股东应当在获得股权</w:t>
      </w:r>
      <w:r>
        <w:rPr>
          <w:rFonts w:ascii="华文楷体" w:eastAsia="华文楷体" w:hAnsi="华文楷体" w:hint="eastAsia"/>
        </w:rPr>
        <w:t>10</w:t>
      </w:r>
      <w:r>
        <w:rPr>
          <w:rFonts w:ascii="华文楷体" w:eastAsia="华文楷体" w:hAnsi="华文楷体" w:hint="eastAsia"/>
        </w:rPr>
        <w:t>个工作日内向银监会报告，商业银行应当在知道或应该知道股东持股增至</w:t>
      </w:r>
      <w:r>
        <w:rPr>
          <w:rFonts w:ascii="华文楷体" w:eastAsia="华文楷体" w:hAnsi="华文楷体" w:hint="eastAsia"/>
        </w:rPr>
        <w:t>1%</w:t>
      </w:r>
      <w:r>
        <w:rPr>
          <w:rFonts w:ascii="华文楷体" w:eastAsia="华文楷体" w:hAnsi="华文楷体" w:hint="eastAsia"/>
        </w:rPr>
        <w:t>至</w:t>
      </w:r>
      <w:r>
        <w:rPr>
          <w:rFonts w:ascii="华文楷体" w:eastAsia="华文楷体" w:hAnsi="华文楷体" w:hint="eastAsia"/>
        </w:rPr>
        <w:t>5%</w:t>
      </w:r>
      <w:r>
        <w:rPr>
          <w:rFonts w:ascii="华文楷体" w:eastAsia="华文楷体" w:hAnsi="华文楷体" w:hint="eastAsia"/>
        </w:rPr>
        <w:t>的</w:t>
      </w:r>
      <w:r>
        <w:rPr>
          <w:rFonts w:ascii="华文楷体" w:eastAsia="华文楷体" w:hAnsi="华文楷体" w:hint="eastAsia"/>
        </w:rPr>
        <w:t>10</w:t>
      </w:r>
      <w:r>
        <w:rPr>
          <w:rFonts w:ascii="华文楷体" w:eastAsia="华文楷体" w:hAnsi="华文楷体" w:hint="eastAsia"/>
        </w:rPr>
        <w:t>个工作日内向银监会报告。</w:t>
      </w:r>
    </w:p>
    <w:p w14:paraId="3AF33714" w14:textId="77777777" w:rsidR="00ED5EBF" w:rsidRDefault="00ED5EBF">
      <w:pPr>
        <w:spacing w:line="360" w:lineRule="auto"/>
        <w:ind w:right="357" w:firstLineChars="200" w:firstLine="480"/>
        <w:rPr>
          <w:rFonts w:ascii="华文楷体" w:eastAsia="华文楷体" w:hAnsi="华文楷体"/>
        </w:rPr>
      </w:pPr>
    </w:p>
    <w:p w14:paraId="1F94D621"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兴业研究团队认为，上述规定对商业银行了解股东持股比例变动提出了更高的要求，使得商业银行对其股权管理的难度和挑战增加。</w:t>
      </w:r>
    </w:p>
    <w:p w14:paraId="2BE77DFD" w14:textId="77777777" w:rsidR="00ED5EBF" w:rsidRDefault="00ED5EBF">
      <w:pPr>
        <w:spacing w:line="360" w:lineRule="auto"/>
        <w:ind w:right="357" w:firstLineChars="200" w:firstLine="480"/>
        <w:rPr>
          <w:rFonts w:ascii="华文楷体" w:eastAsia="华文楷体" w:hAnsi="华文楷体"/>
        </w:rPr>
      </w:pPr>
    </w:p>
    <w:p w14:paraId="6AD9301E"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有序清理“存量违规”</w:t>
      </w:r>
    </w:p>
    <w:p w14:paraId="2917ED9B" w14:textId="77777777" w:rsidR="00ED5EBF" w:rsidRDefault="00ED5EBF">
      <w:pPr>
        <w:spacing w:line="360" w:lineRule="auto"/>
        <w:ind w:right="357" w:firstLineChars="200" w:firstLine="480"/>
        <w:rPr>
          <w:rFonts w:ascii="华文楷体" w:eastAsia="华文楷体" w:hAnsi="华文楷体"/>
        </w:rPr>
      </w:pPr>
    </w:p>
    <w:p w14:paraId="16030CC8"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记者了解到，业内人士对两个配套文件最为关注的内容，即是对于持股比例或持股方式不符合《办法》规定的存量股权如何处理。</w:t>
      </w:r>
    </w:p>
    <w:p w14:paraId="0E0E1459" w14:textId="77777777" w:rsidR="00ED5EBF" w:rsidRDefault="00ED5EBF">
      <w:pPr>
        <w:spacing w:line="360" w:lineRule="auto"/>
        <w:ind w:right="357" w:firstLineChars="200" w:firstLine="480"/>
        <w:rPr>
          <w:rFonts w:ascii="华文楷体" w:eastAsia="华文楷体" w:hAnsi="华文楷体"/>
        </w:rPr>
      </w:pPr>
    </w:p>
    <w:p w14:paraId="4D2F5CF1"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值得关注的是，截至去年年底，在上市银行大股东</w:t>
      </w:r>
      <w:r>
        <w:rPr>
          <w:rFonts w:ascii="华文楷体" w:eastAsia="华文楷体" w:hAnsi="华文楷体" w:hint="eastAsia"/>
        </w:rPr>
        <w:t>中，险资平均持股比例已经达到</w:t>
      </w:r>
      <w:r>
        <w:rPr>
          <w:rFonts w:ascii="华文楷体" w:eastAsia="华文楷体" w:hAnsi="华文楷体" w:hint="eastAsia"/>
        </w:rPr>
        <w:t>10%</w:t>
      </w:r>
      <w:r>
        <w:rPr>
          <w:rFonts w:ascii="华文楷体" w:eastAsia="华文楷体" w:hAnsi="华文楷体" w:hint="eastAsia"/>
        </w:rPr>
        <w:t>，其中不少持股方式就是通过发行万能险等金融产品来对接。今年年初《办法》的发布使得一些险资入股银行的行为成为了违规行为，市场尤为关注如何清理“存量违规”。</w:t>
      </w:r>
    </w:p>
    <w:p w14:paraId="2D0D75C0" w14:textId="77777777" w:rsidR="00ED5EBF" w:rsidRDefault="00ED5EBF">
      <w:pPr>
        <w:spacing w:line="360" w:lineRule="auto"/>
        <w:ind w:right="357" w:firstLineChars="200" w:firstLine="480"/>
        <w:rPr>
          <w:rFonts w:ascii="华文楷体" w:eastAsia="华文楷体" w:hAnsi="华文楷体"/>
        </w:rPr>
      </w:pPr>
    </w:p>
    <w:p w14:paraId="786B0550"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实施通知》要求，在《办法》施行前成为商业银行主要股东，但不符合《办法》第十四条关于入股商业银行数量规定的，银监会或其派出机构应按照持股比例和持股数量只减不增的原则引导其逐步符合《办法》要求。“这意味着，对于违反‘两参一控’限制要求的股东，其所持有的不合规商业银行股权将在未来有序转让或减持。”兴业银行首席经济学家鲁政委表</w:t>
      </w:r>
      <w:r>
        <w:rPr>
          <w:rFonts w:ascii="华文楷体" w:eastAsia="华文楷体" w:hAnsi="华文楷体" w:hint="eastAsia"/>
        </w:rPr>
        <w:t>示。而对于业内普遍关注的金融产品持股比例违规问题，《实施通知》要求“在《办法》施行前，单一投资人、发行人或管理人及其实际控制人、关联方、一致行动人控制的金融产品持有同一商业银行股份合计超过该商业银行股份总额的</w:t>
      </w:r>
      <w:r>
        <w:rPr>
          <w:rFonts w:ascii="华文楷体" w:eastAsia="华文楷体" w:hAnsi="华文楷体" w:hint="eastAsia"/>
        </w:rPr>
        <w:t>5%</w:t>
      </w:r>
      <w:r>
        <w:rPr>
          <w:rFonts w:ascii="华文楷体" w:eastAsia="华文楷体" w:hAnsi="华文楷体" w:hint="eastAsia"/>
        </w:rPr>
        <w:t>，或商业银行主要股东以发行、管理或通过其他手段控制的金融产品持有该商业银行股份的，原则上应于《办法》施行之日起一年内完成整改”。</w:t>
      </w:r>
    </w:p>
    <w:p w14:paraId="3CB7C19A" w14:textId="77777777" w:rsidR="00ED5EBF" w:rsidRDefault="00ED5EBF">
      <w:pPr>
        <w:spacing w:line="360" w:lineRule="auto"/>
        <w:ind w:right="357" w:firstLineChars="200" w:firstLine="480"/>
        <w:rPr>
          <w:rFonts w:ascii="华文楷体" w:eastAsia="华文楷体" w:hAnsi="华文楷体"/>
        </w:rPr>
      </w:pPr>
    </w:p>
    <w:p w14:paraId="708B0E61"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兴业研究团队表示，该项要求将迫使持股超标的金融产品在</w:t>
      </w:r>
      <w:r>
        <w:rPr>
          <w:rFonts w:ascii="华文楷体" w:eastAsia="华文楷体" w:hAnsi="华文楷体" w:hint="eastAsia"/>
        </w:rPr>
        <w:t>2019</w:t>
      </w:r>
      <w:r>
        <w:rPr>
          <w:rFonts w:ascii="华文楷体" w:eastAsia="华文楷体" w:hAnsi="华文楷体" w:hint="eastAsia"/>
        </w:rPr>
        <w:t>年</w:t>
      </w:r>
      <w:r>
        <w:rPr>
          <w:rFonts w:ascii="华文楷体" w:eastAsia="华文楷体" w:hAnsi="华文楷体" w:hint="eastAsia"/>
        </w:rPr>
        <w:t>1</w:t>
      </w:r>
      <w:r>
        <w:rPr>
          <w:rFonts w:ascii="华文楷体" w:eastAsia="华文楷体" w:hAnsi="华文楷体" w:hint="eastAsia"/>
        </w:rPr>
        <w:t>月</w:t>
      </w:r>
      <w:r>
        <w:rPr>
          <w:rFonts w:ascii="华文楷体" w:eastAsia="华文楷体" w:hAnsi="华文楷体" w:hint="eastAsia"/>
        </w:rPr>
        <w:t>5</w:t>
      </w:r>
      <w:r>
        <w:rPr>
          <w:rFonts w:ascii="华文楷体" w:eastAsia="华文楷体" w:hAnsi="华文楷体" w:hint="eastAsia"/>
        </w:rPr>
        <w:t>日前持续减持商业银行股权直至达标。</w:t>
      </w:r>
    </w:p>
    <w:p w14:paraId="21B38C7C" w14:textId="77777777" w:rsidR="00ED5EBF" w:rsidRDefault="00ED5EBF">
      <w:pPr>
        <w:spacing w:line="360" w:lineRule="auto"/>
        <w:ind w:right="357" w:firstLineChars="200" w:firstLine="480"/>
        <w:rPr>
          <w:rFonts w:ascii="华文楷体" w:eastAsia="华文楷体" w:hAnsi="华文楷体"/>
        </w:rPr>
      </w:pPr>
    </w:p>
    <w:p w14:paraId="00214499"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曾刚认为，配套文件对清理“存量违规”设置了比较长的宽限期，目的</w:t>
      </w:r>
      <w:r>
        <w:rPr>
          <w:rFonts w:ascii="华文楷体" w:eastAsia="华文楷体" w:hAnsi="华文楷体" w:hint="eastAsia"/>
        </w:rPr>
        <w:t>在于实现平稳过渡，避免在逐步消解存量问题的过程中出现对市场的冲击，逐步实现监管目的。</w:t>
      </w:r>
    </w:p>
    <w:p w14:paraId="17514301" w14:textId="77777777" w:rsidR="00ED5EBF" w:rsidRDefault="00ED5EBF">
      <w:pPr>
        <w:spacing w:line="360" w:lineRule="auto"/>
        <w:ind w:right="357" w:firstLineChars="200" w:firstLine="480"/>
        <w:rPr>
          <w:rFonts w:ascii="华文楷体" w:eastAsia="华文楷体" w:hAnsi="华文楷体"/>
        </w:rPr>
      </w:pPr>
    </w:p>
    <w:p w14:paraId="2384314B"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明确公司治理重点内容</w:t>
      </w:r>
    </w:p>
    <w:p w14:paraId="2163C75F" w14:textId="77777777" w:rsidR="00ED5EBF" w:rsidRDefault="00ED5EBF">
      <w:pPr>
        <w:spacing w:line="360" w:lineRule="auto"/>
        <w:ind w:right="357" w:firstLineChars="200" w:firstLine="480"/>
        <w:rPr>
          <w:rFonts w:ascii="华文楷体" w:eastAsia="华文楷体" w:hAnsi="华文楷体"/>
        </w:rPr>
      </w:pPr>
    </w:p>
    <w:p w14:paraId="0BE44B40"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曾刚表示，长期以来，有效的公司治理被视为商业银行稳健运行的基石，而股权管理更是商业银行公司治理的核心内容。规范商业银行股东行为，进一步健全公司治理结构，实现金融风险的源头管控，是我国银行业防控金融风险、弥补监管短板的一项重要举措。</w:t>
      </w:r>
    </w:p>
    <w:p w14:paraId="50279185" w14:textId="77777777" w:rsidR="00ED5EBF" w:rsidRDefault="00ED5EBF">
      <w:pPr>
        <w:spacing w:line="360" w:lineRule="auto"/>
        <w:ind w:right="357" w:firstLineChars="200" w:firstLine="480"/>
        <w:rPr>
          <w:rFonts w:ascii="华文楷体" w:eastAsia="华文楷体" w:hAnsi="华文楷体"/>
        </w:rPr>
      </w:pPr>
    </w:p>
    <w:p w14:paraId="190668CC"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而中小银行的股权管理问题则尤为突出。为此，银监会在发布配套文件答记者问时明确了下一步的公司治理重点，即“将中小商业银行股东与股权作为公司治理重点内容，纳入</w:t>
      </w:r>
      <w:r>
        <w:rPr>
          <w:rFonts w:ascii="华文楷体" w:eastAsia="华文楷体" w:hAnsi="华文楷体" w:hint="eastAsia"/>
        </w:rPr>
        <w:t>2018</w:t>
      </w:r>
      <w:r>
        <w:rPr>
          <w:rFonts w:ascii="华文楷体" w:eastAsia="华文楷体" w:hAnsi="华文楷体" w:hint="eastAsia"/>
        </w:rPr>
        <w:t>年现</w:t>
      </w:r>
      <w:r>
        <w:rPr>
          <w:rFonts w:ascii="华文楷体" w:eastAsia="华文楷体" w:hAnsi="华文楷体" w:hint="eastAsia"/>
        </w:rPr>
        <w:t>场检查计划”“加强对商业银行及股东违法违规行为的查处力度”。业内人士认为，这意味着监管机构将在未来重点整治中小银行股东及股权结构，且监管力度和措施都会进一步加强。</w:t>
      </w:r>
    </w:p>
    <w:p w14:paraId="25EF068B" w14:textId="77777777" w:rsidR="00ED5EBF" w:rsidRDefault="00ED5EBF">
      <w:pPr>
        <w:spacing w:line="360" w:lineRule="auto"/>
        <w:ind w:right="357" w:firstLineChars="200" w:firstLine="480"/>
        <w:rPr>
          <w:rFonts w:ascii="华文楷体" w:eastAsia="华文楷体" w:hAnsi="华文楷体"/>
        </w:rPr>
      </w:pPr>
    </w:p>
    <w:p w14:paraId="5DDAD152"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此外，银监会已经启动商业银行股权托管办法的制定工作，探索通过股权托管制度，提高商业银行股权管理规范性和股权信息透明度。</w:t>
      </w:r>
    </w:p>
    <w:p w14:paraId="2E9D13ED" w14:textId="77777777" w:rsidR="00ED5EBF" w:rsidRDefault="00ED5EBF">
      <w:pPr>
        <w:spacing w:line="360" w:lineRule="auto"/>
        <w:ind w:right="357" w:firstLineChars="200" w:firstLine="480"/>
        <w:rPr>
          <w:rFonts w:ascii="华文楷体" w:eastAsia="华文楷体" w:hAnsi="华文楷体"/>
        </w:rPr>
      </w:pPr>
    </w:p>
    <w:p w14:paraId="5B123C78"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值得关注的是，《报告通知》中明确了需要重点关注的</w:t>
      </w:r>
      <w:r>
        <w:rPr>
          <w:rFonts w:ascii="华文楷体" w:eastAsia="华文楷体" w:hAnsi="华文楷体" w:hint="eastAsia"/>
        </w:rPr>
        <w:t>9</w:t>
      </w:r>
      <w:r>
        <w:rPr>
          <w:rFonts w:ascii="华文楷体" w:eastAsia="华文楷体" w:hAnsi="华文楷体" w:hint="eastAsia"/>
        </w:rPr>
        <w:t>项内容，首要便是“是否自有资金入股，是否资金来源合法”。然而，此前发布的《办法》并没有对自有资金的认定等进行细化规定。兴业研究团队认为，可以从</w:t>
      </w:r>
      <w:r>
        <w:rPr>
          <w:rFonts w:ascii="华文楷体" w:eastAsia="华文楷体" w:hAnsi="华文楷体" w:hint="eastAsia"/>
        </w:rPr>
        <w:t>3</w:t>
      </w:r>
      <w:r>
        <w:rPr>
          <w:rFonts w:ascii="华文楷体" w:eastAsia="华文楷体" w:hAnsi="华文楷体" w:hint="eastAsia"/>
        </w:rPr>
        <w:t>月</w:t>
      </w:r>
      <w:r>
        <w:rPr>
          <w:rFonts w:ascii="华文楷体" w:eastAsia="华文楷体" w:hAnsi="华文楷体" w:hint="eastAsia"/>
        </w:rPr>
        <w:t>7</w:t>
      </w:r>
      <w:r>
        <w:rPr>
          <w:rFonts w:ascii="华文楷体" w:eastAsia="华文楷体" w:hAnsi="华文楷体" w:hint="eastAsia"/>
        </w:rPr>
        <w:t>日保监会修订发布的《保险公</w:t>
      </w:r>
      <w:r>
        <w:rPr>
          <w:rFonts w:ascii="华文楷体" w:eastAsia="华文楷体" w:hAnsi="华文楷体" w:hint="eastAsia"/>
        </w:rPr>
        <w:t>司股权管理办法》中得到一定的启示。《保险公司股权管理办法》中明确“自有资金以净资产为限”，银监会或有较大可能以该标准对商业银行股东入股资金是否为自有资金进行认定。</w:t>
      </w:r>
    </w:p>
    <w:p w14:paraId="65A6AB79" w14:textId="77777777" w:rsidR="00ED5EBF" w:rsidRDefault="00ED5EBF">
      <w:pPr>
        <w:spacing w:line="360" w:lineRule="auto"/>
        <w:ind w:right="357" w:firstLineChars="200" w:firstLine="480"/>
        <w:rPr>
          <w:rFonts w:ascii="华文楷体" w:eastAsia="华文楷体" w:hAnsi="华文楷体"/>
        </w:rPr>
      </w:pPr>
    </w:p>
    <w:p w14:paraId="460D1FAB" w14:textId="77777777" w:rsidR="00ED5EBF" w:rsidRDefault="00ED5EBF">
      <w:pPr>
        <w:spacing w:line="360" w:lineRule="auto"/>
        <w:ind w:right="357" w:firstLineChars="200" w:firstLine="480"/>
        <w:rPr>
          <w:rFonts w:ascii="华文楷体" w:eastAsia="华文楷体" w:hAnsi="华文楷体"/>
        </w:rPr>
      </w:pPr>
    </w:p>
    <w:p w14:paraId="0084AD61" w14:textId="77777777" w:rsidR="00ED5EBF" w:rsidRDefault="00ED5EBF">
      <w:pPr>
        <w:spacing w:line="360" w:lineRule="auto"/>
        <w:ind w:right="357" w:firstLineChars="200" w:firstLine="480"/>
        <w:rPr>
          <w:rFonts w:ascii="华文楷体" w:eastAsia="华文楷体" w:hAnsi="华文楷体"/>
        </w:rPr>
      </w:pPr>
    </w:p>
    <w:p w14:paraId="7CFC15EF" w14:textId="77777777" w:rsidR="00ED5EBF" w:rsidRDefault="00ED5EBF">
      <w:pPr>
        <w:spacing w:line="360" w:lineRule="auto"/>
        <w:ind w:right="357" w:firstLineChars="200" w:firstLine="480"/>
        <w:rPr>
          <w:rFonts w:ascii="华文楷体" w:eastAsia="华文楷体" w:hAnsi="华文楷体"/>
        </w:rPr>
      </w:pPr>
    </w:p>
    <w:p w14:paraId="6DE27EC3" w14:textId="77777777" w:rsidR="00ED5EBF" w:rsidRDefault="00ED5EBF">
      <w:pPr>
        <w:spacing w:line="360" w:lineRule="auto"/>
        <w:ind w:right="357" w:firstLineChars="200" w:firstLine="480"/>
        <w:rPr>
          <w:rFonts w:ascii="华文楷体" w:eastAsia="华文楷体" w:hAnsi="华文楷体"/>
        </w:rPr>
      </w:pPr>
    </w:p>
    <w:p w14:paraId="2525FDD8" w14:textId="77777777" w:rsidR="00ED5EBF" w:rsidRDefault="00ED5EBF">
      <w:pPr>
        <w:spacing w:line="360" w:lineRule="auto"/>
        <w:ind w:right="357" w:firstLineChars="200" w:firstLine="480"/>
        <w:rPr>
          <w:rFonts w:ascii="华文楷体" w:eastAsia="华文楷体" w:hAnsi="华文楷体"/>
        </w:rPr>
      </w:pPr>
    </w:p>
    <w:p w14:paraId="3D881CD0" w14:textId="77777777" w:rsidR="00ED5EBF" w:rsidRDefault="00ED5EBF">
      <w:pPr>
        <w:spacing w:line="360" w:lineRule="auto"/>
        <w:ind w:right="357" w:firstLineChars="200" w:firstLine="480"/>
        <w:rPr>
          <w:rFonts w:ascii="华文楷体" w:eastAsia="华文楷体" w:hAnsi="华文楷体"/>
        </w:rPr>
      </w:pPr>
    </w:p>
    <w:p w14:paraId="29C62D22" w14:textId="77777777" w:rsidR="00ED5EBF" w:rsidRDefault="00ED5EBF">
      <w:pPr>
        <w:spacing w:line="360" w:lineRule="auto"/>
        <w:ind w:right="357" w:firstLineChars="200" w:firstLine="480"/>
        <w:rPr>
          <w:rFonts w:ascii="华文楷体" w:eastAsia="华文楷体" w:hAnsi="华文楷体"/>
        </w:rPr>
      </w:pPr>
    </w:p>
    <w:p w14:paraId="32BE3576" w14:textId="77777777" w:rsidR="00ED5EBF" w:rsidRDefault="00ED5EBF">
      <w:pPr>
        <w:spacing w:line="360" w:lineRule="auto"/>
        <w:rPr>
          <w:rFonts w:ascii="华文中宋" w:eastAsia="华文中宋" w:hAnsi="华文中宋" w:cs="华文中宋"/>
          <w:b/>
          <w:bCs/>
        </w:rPr>
      </w:pPr>
    </w:p>
    <w:p w14:paraId="4615CDFA" w14:textId="77777777" w:rsidR="00ED5EBF" w:rsidRDefault="002034C8">
      <w:pPr>
        <w:spacing w:line="360" w:lineRule="auto"/>
        <w:jc w:val="center"/>
        <w:rPr>
          <w:rFonts w:ascii="华文中宋" w:eastAsia="华文中宋" w:hAnsi="华文中宋" w:cs="华文中宋"/>
          <w:b/>
          <w:bCs/>
        </w:rPr>
      </w:pPr>
      <w:bookmarkStart w:id="29" w:name="证监会通报2017年下半年IPO企业现场检查及问题处理情况"/>
      <w:r>
        <w:rPr>
          <w:rFonts w:ascii="华文中宋" w:eastAsia="华文中宋" w:hAnsi="华文中宋" w:cs="华文中宋" w:hint="eastAsia"/>
          <w:b/>
          <w:bCs/>
        </w:rPr>
        <w:t>证监会通报</w:t>
      </w:r>
      <w:r>
        <w:rPr>
          <w:rFonts w:ascii="华文中宋" w:eastAsia="华文中宋" w:hAnsi="华文中宋" w:cs="华文中宋" w:hint="eastAsia"/>
          <w:b/>
          <w:bCs/>
        </w:rPr>
        <w:t>2017</w:t>
      </w:r>
      <w:r>
        <w:rPr>
          <w:rFonts w:ascii="华文中宋" w:eastAsia="华文中宋" w:hAnsi="华文中宋" w:cs="华文中宋" w:hint="eastAsia"/>
          <w:b/>
          <w:bCs/>
        </w:rPr>
        <w:t>年下半年</w:t>
      </w:r>
      <w:r>
        <w:rPr>
          <w:rFonts w:ascii="华文中宋" w:eastAsia="华文中宋" w:hAnsi="华文中宋" w:cs="华文中宋" w:hint="eastAsia"/>
          <w:b/>
          <w:bCs/>
        </w:rPr>
        <w:t>IPO</w:t>
      </w:r>
      <w:r>
        <w:rPr>
          <w:rFonts w:ascii="华文中宋" w:eastAsia="华文中宋" w:hAnsi="华文中宋" w:cs="华文中宋" w:hint="eastAsia"/>
          <w:b/>
          <w:bCs/>
        </w:rPr>
        <w:t>企业现场检查及问题处理情况</w:t>
      </w:r>
    </w:p>
    <w:bookmarkEnd w:id="29"/>
    <w:p w14:paraId="4D8BCF0E" w14:textId="77777777" w:rsidR="00ED5EBF" w:rsidRDefault="002034C8">
      <w:pPr>
        <w:spacing w:line="360" w:lineRule="auto"/>
        <w:jc w:val="center"/>
        <w:rPr>
          <w:rFonts w:ascii="华文楷体" w:eastAsia="华文楷体" w:hAnsi="华文楷体" w:cs="华文楷体"/>
          <w:sz w:val="21"/>
          <w:szCs w:val="21"/>
        </w:rPr>
      </w:pPr>
      <w:r>
        <w:rPr>
          <w:rFonts w:ascii="华文楷体" w:eastAsia="华文楷体" w:hAnsi="华文楷体" w:cs="华文楷体" w:hint="eastAsia"/>
          <w:sz w:val="21"/>
          <w:szCs w:val="21"/>
        </w:rPr>
        <w:t>日期：</w:t>
      </w:r>
      <w:r>
        <w:rPr>
          <w:rFonts w:ascii="华文楷体" w:eastAsia="华文楷体" w:hAnsi="华文楷体" w:cs="华文楷体" w:hint="eastAsia"/>
          <w:sz w:val="21"/>
          <w:szCs w:val="21"/>
        </w:rPr>
        <w:t>2018</w:t>
      </w:r>
      <w:r>
        <w:rPr>
          <w:rFonts w:ascii="华文楷体" w:eastAsia="华文楷体" w:hAnsi="华文楷体" w:cs="华文楷体" w:hint="eastAsia"/>
          <w:sz w:val="21"/>
          <w:szCs w:val="21"/>
        </w:rPr>
        <w:t>年</w:t>
      </w:r>
      <w:r>
        <w:rPr>
          <w:rFonts w:ascii="华文楷体" w:eastAsia="华文楷体" w:hAnsi="华文楷体" w:cs="华文楷体" w:hint="eastAsia"/>
          <w:sz w:val="21"/>
          <w:szCs w:val="21"/>
        </w:rPr>
        <w:t>3</w:t>
      </w:r>
      <w:r>
        <w:rPr>
          <w:rFonts w:ascii="华文楷体" w:eastAsia="华文楷体" w:hAnsi="华文楷体" w:cs="华文楷体" w:hint="eastAsia"/>
          <w:sz w:val="21"/>
          <w:szCs w:val="21"/>
        </w:rPr>
        <w:t>月</w:t>
      </w:r>
      <w:r>
        <w:rPr>
          <w:rFonts w:ascii="华文楷体" w:eastAsia="华文楷体" w:hAnsi="华文楷体" w:cs="华文楷体" w:hint="eastAsia"/>
          <w:sz w:val="21"/>
          <w:szCs w:val="21"/>
        </w:rPr>
        <w:t>16</w:t>
      </w:r>
      <w:r>
        <w:rPr>
          <w:rFonts w:ascii="华文楷体" w:eastAsia="华文楷体" w:hAnsi="华文楷体" w:cs="华文楷体" w:hint="eastAsia"/>
          <w:sz w:val="21"/>
          <w:szCs w:val="21"/>
        </w:rPr>
        <w:t>日</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来源：证监会</w:t>
      </w:r>
    </w:p>
    <w:p w14:paraId="079320C2" w14:textId="77777777" w:rsidR="00ED5EBF" w:rsidRDefault="00ED5EBF">
      <w:pPr>
        <w:spacing w:line="360" w:lineRule="auto"/>
        <w:ind w:firstLineChars="200" w:firstLine="480"/>
        <w:rPr>
          <w:rFonts w:ascii="华文楷体" w:eastAsia="华文楷体" w:hAnsi="华文楷体" w:cs="华文楷体"/>
        </w:rPr>
      </w:pPr>
    </w:p>
    <w:p w14:paraId="325C6FB2"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为深入贯彻全国金融工作会议精神，严格落实依法全面从严监管理念，切实强化</w:t>
      </w:r>
      <w:r>
        <w:rPr>
          <w:rFonts w:ascii="华文楷体" w:eastAsia="华文楷体" w:hAnsi="华文楷体" w:cs="华文楷体" w:hint="eastAsia"/>
        </w:rPr>
        <w:t>IPO</w:t>
      </w:r>
      <w:r>
        <w:rPr>
          <w:rFonts w:ascii="华文楷体" w:eastAsia="华文楷体" w:hAnsi="华文楷体" w:cs="华文楷体" w:hint="eastAsia"/>
        </w:rPr>
        <w:t>申请企业监管力度，督促中介机构勤勉尽责、审慎执业，从源头上提高上市公司质量，</w:t>
      </w:r>
      <w:r>
        <w:rPr>
          <w:rFonts w:ascii="华文楷体" w:eastAsia="华文楷体" w:hAnsi="华文楷体" w:cs="华文楷体" w:hint="eastAsia"/>
        </w:rPr>
        <w:t>2017</w:t>
      </w:r>
      <w:r>
        <w:rPr>
          <w:rFonts w:ascii="华文楷体" w:eastAsia="华文楷体" w:hAnsi="华文楷体" w:cs="华文楷体" w:hint="eastAsia"/>
        </w:rPr>
        <w:t>年下半年，我会在做好新股发行常态化工作的同时，对</w:t>
      </w:r>
      <w:r>
        <w:rPr>
          <w:rFonts w:ascii="华文楷体" w:eastAsia="华文楷体" w:hAnsi="华文楷体" w:cs="华文楷体" w:hint="eastAsia"/>
        </w:rPr>
        <w:t>22</w:t>
      </w:r>
      <w:r>
        <w:rPr>
          <w:rFonts w:ascii="华文楷体" w:eastAsia="华文楷体" w:hAnsi="华文楷体" w:cs="华文楷体" w:hint="eastAsia"/>
        </w:rPr>
        <w:t>家</w:t>
      </w:r>
      <w:r>
        <w:rPr>
          <w:rFonts w:ascii="华文楷体" w:eastAsia="华文楷体" w:hAnsi="华文楷体" w:cs="华文楷体" w:hint="eastAsia"/>
        </w:rPr>
        <w:t>IPO</w:t>
      </w:r>
      <w:r>
        <w:rPr>
          <w:rFonts w:ascii="华文楷体" w:eastAsia="华文楷体" w:hAnsi="华文楷体" w:cs="华文楷体" w:hint="eastAsia"/>
        </w:rPr>
        <w:t>在审企业开展了现场检查。</w:t>
      </w:r>
    </w:p>
    <w:p w14:paraId="1F35C281" w14:textId="77777777" w:rsidR="00ED5EBF" w:rsidRDefault="00ED5EBF">
      <w:pPr>
        <w:spacing w:line="360" w:lineRule="auto"/>
        <w:rPr>
          <w:rFonts w:ascii="华文楷体" w:eastAsia="华文楷体" w:hAnsi="华文楷体" w:cs="华文楷体"/>
        </w:rPr>
      </w:pPr>
    </w:p>
    <w:p w14:paraId="6C73833C"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对于检查中发现问题的发行人和中介机构，我会根据性质、程度和影响的不同进行分类处理。</w:t>
      </w:r>
    </w:p>
    <w:p w14:paraId="267E93BA" w14:textId="77777777" w:rsidR="00ED5EBF" w:rsidRDefault="00ED5EBF">
      <w:pPr>
        <w:spacing w:line="360" w:lineRule="auto"/>
        <w:rPr>
          <w:rFonts w:ascii="华文楷体" w:eastAsia="华文楷体" w:hAnsi="华文楷体" w:cs="华文楷体"/>
        </w:rPr>
      </w:pPr>
    </w:p>
    <w:p w14:paraId="60F61505"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第一，对</w:t>
      </w:r>
      <w:r>
        <w:rPr>
          <w:rFonts w:ascii="华文楷体" w:eastAsia="华文楷体" w:hAnsi="华文楷体" w:cs="华文楷体" w:hint="eastAsia"/>
        </w:rPr>
        <w:t>2</w:t>
      </w:r>
      <w:r>
        <w:rPr>
          <w:rFonts w:ascii="华文楷体" w:eastAsia="华文楷体" w:hAnsi="华文楷体" w:cs="华文楷体" w:hint="eastAsia"/>
        </w:rPr>
        <w:t>家企业采取出具警示函的监管措施。问题主要是，实际控制人代发行人承担部分费用、利用个人银行卡办理公司业务、资金管理存在重大内控缺陷、未披露对实际控制人关联方资金往来等，在会计基础、内部控制、信息披露等方面涉嫌违反发行条件。</w:t>
      </w:r>
    </w:p>
    <w:p w14:paraId="5B914179" w14:textId="77777777" w:rsidR="00ED5EBF" w:rsidRDefault="00ED5EBF">
      <w:pPr>
        <w:spacing w:line="360" w:lineRule="auto"/>
        <w:rPr>
          <w:rFonts w:ascii="华文楷体" w:eastAsia="华文楷体" w:hAnsi="华文楷体" w:cs="华文楷体"/>
        </w:rPr>
      </w:pPr>
    </w:p>
    <w:p w14:paraId="6E89A4EF"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第二，对</w:t>
      </w:r>
      <w:r>
        <w:rPr>
          <w:rFonts w:ascii="华文楷体" w:eastAsia="华文楷体" w:hAnsi="华文楷体" w:cs="华文楷体" w:hint="eastAsia"/>
        </w:rPr>
        <w:t>13</w:t>
      </w:r>
      <w:r>
        <w:rPr>
          <w:rFonts w:ascii="华文楷体" w:eastAsia="华文楷体" w:hAnsi="华文楷体" w:cs="华文楷体" w:hint="eastAsia"/>
        </w:rPr>
        <w:t>家中介机构拟按程序采取相应监管措施。问题主要是，对招股说明书披露信息核查不充分、重要事项核查不到位、工作底稿不完善等，涉及</w:t>
      </w:r>
      <w:r>
        <w:rPr>
          <w:rFonts w:ascii="华文楷体" w:eastAsia="华文楷体" w:hAnsi="华文楷体" w:cs="华文楷体" w:hint="eastAsia"/>
        </w:rPr>
        <w:t>6</w:t>
      </w:r>
      <w:r>
        <w:rPr>
          <w:rFonts w:ascii="华文楷体" w:eastAsia="华文楷体" w:hAnsi="华文楷体" w:cs="华文楷体" w:hint="eastAsia"/>
        </w:rPr>
        <w:t>家保荐机构、</w:t>
      </w:r>
      <w:r>
        <w:rPr>
          <w:rFonts w:ascii="华文楷体" w:eastAsia="华文楷体" w:hAnsi="华文楷体" w:cs="华文楷体" w:hint="eastAsia"/>
        </w:rPr>
        <w:t>5</w:t>
      </w:r>
      <w:r>
        <w:rPr>
          <w:rFonts w:ascii="华文楷体" w:eastAsia="华文楷体" w:hAnsi="华文楷体" w:cs="华文楷体" w:hint="eastAsia"/>
        </w:rPr>
        <w:t>家会计师事务所、</w:t>
      </w:r>
      <w:r>
        <w:rPr>
          <w:rFonts w:ascii="华文楷体" w:eastAsia="华文楷体" w:hAnsi="华文楷体" w:cs="华文楷体" w:hint="eastAsia"/>
        </w:rPr>
        <w:t>2</w:t>
      </w:r>
      <w:r>
        <w:rPr>
          <w:rFonts w:ascii="华文楷体" w:eastAsia="华文楷体" w:hAnsi="华文楷体" w:cs="华文楷体" w:hint="eastAsia"/>
        </w:rPr>
        <w:t>家律师事务所。</w:t>
      </w:r>
    </w:p>
    <w:p w14:paraId="318946D5" w14:textId="77777777" w:rsidR="00ED5EBF" w:rsidRDefault="00ED5EBF">
      <w:pPr>
        <w:spacing w:line="360" w:lineRule="auto"/>
        <w:rPr>
          <w:rFonts w:ascii="华文楷体" w:eastAsia="华文楷体" w:hAnsi="华文楷体" w:cs="华文楷体"/>
        </w:rPr>
      </w:pPr>
    </w:p>
    <w:p w14:paraId="7A6F2354"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第三，对存在其他问题的企业及其中介机构进行督促整改或约谈提醒。问题主要是，关联方</w:t>
      </w:r>
      <w:r>
        <w:rPr>
          <w:rFonts w:ascii="华文楷体" w:eastAsia="华文楷体" w:hAnsi="华文楷体" w:cs="华文楷体" w:hint="eastAsia"/>
        </w:rPr>
        <w:t>和关联交易披露不完整；与关联方无业务背景资金往来；主要客户、供应商信息披露不准确；收入确认时点不一致；内控措施不完备；与关联方在人员、财务、业务等方面不独立；期间费用跨期确认等。我会已通过反馈意见函形式告知企业及中介机构，督促其尽快整改。对其中</w:t>
      </w:r>
      <w:r>
        <w:rPr>
          <w:rFonts w:ascii="华文楷体" w:eastAsia="华文楷体" w:hAnsi="华文楷体" w:cs="华文楷体" w:hint="eastAsia"/>
        </w:rPr>
        <w:t>3</w:t>
      </w:r>
      <w:r>
        <w:rPr>
          <w:rFonts w:ascii="华文楷体" w:eastAsia="华文楷体" w:hAnsi="华文楷体" w:cs="华文楷体" w:hint="eastAsia"/>
        </w:rPr>
        <w:t>家企业和相关中介机构，进行了约谈提醒。</w:t>
      </w:r>
    </w:p>
    <w:p w14:paraId="14AB5870" w14:textId="77777777" w:rsidR="00ED5EBF" w:rsidRDefault="00ED5EBF">
      <w:pPr>
        <w:spacing w:line="360" w:lineRule="auto"/>
        <w:rPr>
          <w:rFonts w:ascii="华文楷体" w:eastAsia="华文楷体" w:hAnsi="华文楷体" w:cs="华文楷体"/>
        </w:rPr>
      </w:pPr>
    </w:p>
    <w:p w14:paraId="0C6C6B2D"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此外，在现场检查准备和实施期间，共有</w:t>
      </w:r>
      <w:r>
        <w:rPr>
          <w:rFonts w:ascii="华文楷体" w:eastAsia="华文楷体" w:hAnsi="华文楷体" w:cs="华文楷体" w:hint="eastAsia"/>
        </w:rPr>
        <w:t>10</w:t>
      </w:r>
      <w:r>
        <w:rPr>
          <w:rFonts w:ascii="华文楷体" w:eastAsia="华文楷体" w:hAnsi="华文楷体" w:cs="华文楷体" w:hint="eastAsia"/>
        </w:rPr>
        <w:t>家企业撤回了</w:t>
      </w:r>
      <w:r>
        <w:rPr>
          <w:rFonts w:ascii="华文楷体" w:eastAsia="华文楷体" w:hAnsi="华文楷体" w:cs="华文楷体" w:hint="eastAsia"/>
        </w:rPr>
        <w:t>IPO</w:t>
      </w:r>
      <w:r>
        <w:rPr>
          <w:rFonts w:ascii="华文楷体" w:eastAsia="华文楷体" w:hAnsi="华文楷体" w:cs="华文楷体" w:hint="eastAsia"/>
        </w:rPr>
        <w:t>申请。</w:t>
      </w:r>
    </w:p>
    <w:p w14:paraId="36585073" w14:textId="77777777" w:rsidR="00ED5EBF" w:rsidRDefault="00ED5EBF">
      <w:pPr>
        <w:spacing w:line="360" w:lineRule="auto"/>
        <w:rPr>
          <w:rFonts w:ascii="华文楷体" w:eastAsia="华文楷体" w:hAnsi="华文楷体" w:cs="华文楷体"/>
        </w:rPr>
      </w:pPr>
    </w:p>
    <w:p w14:paraId="751320F8"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总体上看，本次现场检查严格落实了依法全面从严监管理念，继续保持了对违法违规行为的零容忍态势，向市场有效传导了监管压力，对净化</w:t>
      </w:r>
      <w:r>
        <w:rPr>
          <w:rFonts w:ascii="华文楷体" w:eastAsia="华文楷体" w:hAnsi="华文楷体" w:cs="华文楷体" w:hint="eastAsia"/>
        </w:rPr>
        <w:t>IPO</w:t>
      </w:r>
      <w:r>
        <w:rPr>
          <w:rFonts w:ascii="华文楷体" w:eastAsia="华文楷体" w:hAnsi="华文楷体" w:cs="华文楷体" w:hint="eastAsia"/>
        </w:rPr>
        <w:t>市场环境、严把准入</w:t>
      </w:r>
      <w:r>
        <w:rPr>
          <w:rFonts w:ascii="华文楷体" w:eastAsia="华文楷体" w:hAnsi="华文楷体" w:cs="华文楷体" w:hint="eastAsia"/>
        </w:rPr>
        <w:t>关口、支持优质企业发行上市起到了良好作用。</w:t>
      </w:r>
    </w:p>
    <w:p w14:paraId="79E4B816" w14:textId="77777777" w:rsidR="00ED5EBF" w:rsidRDefault="00ED5EBF">
      <w:pPr>
        <w:spacing w:line="360" w:lineRule="auto"/>
        <w:rPr>
          <w:rFonts w:ascii="华文楷体" w:eastAsia="华文楷体" w:hAnsi="华文楷体" w:cs="华文楷体"/>
        </w:rPr>
      </w:pPr>
    </w:p>
    <w:p w14:paraId="567716B5"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2018</w:t>
      </w:r>
      <w:r>
        <w:rPr>
          <w:rFonts w:ascii="华文楷体" w:eastAsia="华文楷体" w:hAnsi="华文楷体" w:cs="华文楷体" w:hint="eastAsia"/>
        </w:rPr>
        <w:t>年上半年，我会将继续深入开展</w:t>
      </w:r>
      <w:r>
        <w:rPr>
          <w:rFonts w:ascii="华文楷体" w:eastAsia="华文楷体" w:hAnsi="华文楷体" w:cs="华文楷体" w:hint="eastAsia"/>
        </w:rPr>
        <w:t>IPO</w:t>
      </w:r>
      <w:r>
        <w:rPr>
          <w:rFonts w:ascii="华文楷体" w:eastAsia="华文楷体" w:hAnsi="华文楷体" w:cs="华文楷体" w:hint="eastAsia"/>
        </w:rPr>
        <w:t>企业现场检查工作。检查范围主要包括：信息披露质量抽查抽中的企业；日常审核中发现存在明显问题或较大风险的企业；反馈意见或告知函等回复材料超期未报的企业。通过常态化现场检查，督促</w:t>
      </w:r>
      <w:r>
        <w:rPr>
          <w:rFonts w:ascii="华文楷体" w:eastAsia="华文楷体" w:hAnsi="华文楷体" w:cs="华文楷体" w:hint="eastAsia"/>
        </w:rPr>
        <w:t>IPO</w:t>
      </w:r>
      <w:r>
        <w:rPr>
          <w:rFonts w:ascii="华文楷体" w:eastAsia="华文楷体" w:hAnsi="华文楷体" w:cs="华文楷体" w:hint="eastAsia"/>
        </w:rPr>
        <w:t>申请企业提高质量，督促中介机构勤勉尽责，为坚决打好防范化解资本市场重大风险攻坚战做出努力。</w:t>
      </w:r>
    </w:p>
    <w:p w14:paraId="31AEFB31" w14:textId="77777777" w:rsidR="00ED5EBF" w:rsidRDefault="00ED5EBF">
      <w:pPr>
        <w:spacing w:line="360" w:lineRule="auto"/>
        <w:rPr>
          <w:rFonts w:ascii="华文楷体" w:eastAsia="华文楷体" w:hAnsi="华文楷体" w:cs="华文楷体"/>
        </w:rPr>
      </w:pPr>
    </w:p>
    <w:p w14:paraId="20E74DAF" w14:textId="77777777" w:rsidR="00ED5EBF" w:rsidRDefault="00ED5EBF">
      <w:pPr>
        <w:spacing w:line="360" w:lineRule="auto"/>
        <w:rPr>
          <w:rFonts w:ascii="华文楷体" w:eastAsia="华文楷体" w:hAnsi="华文楷体" w:cs="华文楷体"/>
        </w:rPr>
      </w:pPr>
    </w:p>
    <w:p w14:paraId="649C05F8" w14:textId="77777777" w:rsidR="00ED5EBF" w:rsidRDefault="00ED5EBF">
      <w:pPr>
        <w:spacing w:line="360" w:lineRule="auto"/>
        <w:rPr>
          <w:rFonts w:ascii="华文楷体" w:eastAsia="华文楷体" w:hAnsi="华文楷体" w:cs="华文楷体"/>
        </w:rPr>
      </w:pPr>
    </w:p>
    <w:p w14:paraId="509DDB4D" w14:textId="77777777" w:rsidR="00ED5EBF" w:rsidRDefault="00ED5EBF">
      <w:pPr>
        <w:spacing w:line="360" w:lineRule="auto"/>
        <w:rPr>
          <w:rFonts w:ascii="华文楷体" w:eastAsia="华文楷体" w:hAnsi="华文楷体" w:cs="华文楷体"/>
        </w:rPr>
      </w:pPr>
    </w:p>
    <w:p w14:paraId="52F2FB81" w14:textId="77777777" w:rsidR="00ED5EBF" w:rsidRDefault="00ED5EBF">
      <w:pPr>
        <w:spacing w:line="360" w:lineRule="auto"/>
        <w:rPr>
          <w:rFonts w:ascii="华文楷体" w:eastAsia="华文楷体" w:hAnsi="华文楷体" w:cs="华文楷体"/>
        </w:rPr>
      </w:pPr>
    </w:p>
    <w:p w14:paraId="4EA7583B" w14:textId="77777777" w:rsidR="00ED5EBF" w:rsidRDefault="00ED5EBF">
      <w:pPr>
        <w:spacing w:line="360" w:lineRule="auto"/>
        <w:rPr>
          <w:rFonts w:ascii="华文楷体" w:eastAsia="华文楷体" w:hAnsi="华文楷体" w:cs="华文楷体"/>
        </w:rPr>
      </w:pPr>
    </w:p>
    <w:p w14:paraId="04F0BD82" w14:textId="77777777" w:rsidR="00ED5EBF" w:rsidRDefault="002034C8">
      <w:pPr>
        <w:spacing w:line="360" w:lineRule="auto"/>
        <w:ind w:right="357"/>
        <w:jc w:val="center"/>
        <w:rPr>
          <w:rFonts w:ascii="华文中宋" w:eastAsia="华文中宋" w:hAnsi="华文中宋" w:cs="华文中宋"/>
          <w:b/>
        </w:rPr>
      </w:pPr>
      <w:bookmarkStart w:id="30" w:name="证监会：新退市制度已包含投资者保护安排"/>
      <w:r>
        <w:rPr>
          <w:rFonts w:ascii="华文中宋" w:eastAsia="华文中宋" w:hAnsi="华文中宋" w:cs="华文中宋" w:hint="eastAsia"/>
          <w:b/>
        </w:rPr>
        <w:t>证监会：新退市制度已包含投资者保护安排</w:t>
      </w:r>
    </w:p>
    <w:bookmarkEnd w:id="30"/>
    <w:p w14:paraId="22A2D130" w14:textId="77777777" w:rsidR="00ED5EBF" w:rsidRDefault="002034C8">
      <w:pPr>
        <w:spacing w:line="360" w:lineRule="auto"/>
        <w:ind w:right="357"/>
        <w:jc w:val="center"/>
        <w:rPr>
          <w:rFonts w:ascii="华文楷体" w:eastAsia="华文楷体" w:hAnsi="华文楷体"/>
          <w:szCs w:val="21"/>
        </w:rPr>
      </w:pPr>
      <w:r>
        <w:rPr>
          <w:rFonts w:ascii="华文楷体" w:eastAsia="华文楷体" w:hAnsi="华文楷体" w:hint="eastAsia"/>
          <w:szCs w:val="21"/>
        </w:rPr>
        <w:t>时间：</w:t>
      </w:r>
      <w:r>
        <w:rPr>
          <w:rFonts w:ascii="华文楷体" w:eastAsia="华文楷体" w:hAnsi="华文楷体" w:hint="eastAsia"/>
          <w:szCs w:val="21"/>
        </w:rPr>
        <w:t xml:space="preserve">2018-03-13  </w:t>
      </w:r>
      <w:r>
        <w:rPr>
          <w:rFonts w:ascii="华文楷体" w:eastAsia="华文楷体" w:hAnsi="华文楷体" w:hint="eastAsia"/>
          <w:szCs w:val="21"/>
        </w:rPr>
        <w:t>来源：证券时报</w:t>
      </w:r>
    </w:p>
    <w:p w14:paraId="5B3FD150"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3</w:t>
      </w:r>
      <w:r>
        <w:rPr>
          <w:rFonts w:ascii="华文楷体" w:eastAsia="华文楷体" w:hAnsi="华文楷体" w:hint="eastAsia"/>
        </w:rPr>
        <w:t>月</w:t>
      </w:r>
      <w:r>
        <w:rPr>
          <w:rFonts w:ascii="华文楷体" w:eastAsia="华文楷体" w:hAnsi="华文楷体" w:hint="eastAsia"/>
        </w:rPr>
        <w:t>12</w:t>
      </w:r>
      <w:r>
        <w:rPr>
          <w:rFonts w:ascii="华文楷体" w:eastAsia="华文楷体" w:hAnsi="华文楷体" w:hint="eastAsia"/>
        </w:rPr>
        <w:t>日，在证监会举行的首场专题新闻发布会上，证监会投资者保护局与中国证券投资者保护基金公司、中证中小投资者服务中心有限公司相关负责人同时现身，回顾了过去证监会系统投保工作成绩，并介绍了下一步工作安排。</w:t>
      </w:r>
    </w:p>
    <w:p w14:paraId="3A4DD0B7" w14:textId="77777777" w:rsidR="00ED5EBF" w:rsidRDefault="00ED5EBF">
      <w:pPr>
        <w:spacing w:line="360" w:lineRule="auto"/>
        <w:ind w:right="357" w:firstLineChars="200" w:firstLine="480"/>
        <w:rPr>
          <w:rFonts w:ascii="华文楷体" w:eastAsia="华文楷体" w:hAnsi="华文楷体"/>
        </w:rPr>
      </w:pPr>
    </w:p>
    <w:p w14:paraId="564CD079"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相关负责人表示，资本市场的投资者保护工作已经初步形成了相应的组织体系和制度体系。正在征求意见中的完善上市公司退市制度的相关文件里面，缩短重大违法退市情形的暂停上市期间、延长其他重大违法退市的公司申请重新上市时间间隔、强化风险提示的信息披露要求等均是对投资者保护的具体安排。</w:t>
      </w:r>
    </w:p>
    <w:p w14:paraId="5BE6A38C" w14:textId="77777777" w:rsidR="00ED5EBF" w:rsidRDefault="00ED5EBF">
      <w:pPr>
        <w:spacing w:line="360" w:lineRule="auto"/>
        <w:ind w:right="357" w:firstLineChars="200" w:firstLine="480"/>
        <w:rPr>
          <w:rFonts w:ascii="华文楷体" w:eastAsia="华文楷体" w:hAnsi="华文楷体"/>
        </w:rPr>
      </w:pPr>
    </w:p>
    <w:p w14:paraId="3A1D19C9"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覆盖投保各业务领域的制度体系</w:t>
      </w:r>
      <w:r>
        <w:rPr>
          <w:rFonts w:ascii="华文楷体" w:eastAsia="华文楷体" w:hAnsi="华文楷体" w:hint="eastAsia"/>
        </w:rPr>
        <w:t>初步形成</w:t>
      </w:r>
    </w:p>
    <w:p w14:paraId="09730B64" w14:textId="77777777" w:rsidR="00ED5EBF" w:rsidRDefault="00ED5EBF">
      <w:pPr>
        <w:spacing w:line="360" w:lineRule="auto"/>
        <w:ind w:right="357" w:firstLineChars="200" w:firstLine="480"/>
        <w:rPr>
          <w:rFonts w:ascii="华文楷体" w:eastAsia="华文楷体" w:hAnsi="华文楷体"/>
        </w:rPr>
      </w:pPr>
    </w:p>
    <w:p w14:paraId="1D88A6DD"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截至</w:t>
      </w:r>
      <w:r>
        <w:rPr>
          <w:rFonts w:ascii="华文楷体" w:eastAsia="华文楷体" w:hAnsi="华文楷体" w:hint="eastAsia"/>
        </w:rPr>
        <w:t>2018</w:t>
      </w:r>
      <w:r>
        <w:rPr>
          <w:rFonts w:ascii="华文楷体" w:eastAsia="华文楷体" w:hAnsi="华文楷体" w:hint="eastAsia"/>
        </w:rPr>
        <w:t>年</w:t>
      </w:r>
      <w:r>
        <w:rPr>
          <w:rFonts w:ascii="华文楷体" w:eastAsia="华文楷体" w:hAnsi="华文楷体" w:hint="eastAsia"/>
        </w:rPr>
        <w:t>1</w:t>
      </w:r>
      <w:r>
        <w:rPr>
          <w:rFonts w:ascii="华文楷体" w:eastAsia="华文楷体" w:hAnsi="华文楷体" w:hint="eastAsia"/>
        </w:rPr>
        <w:t>月底，证券市场投资者</w:t>
      </w:r>
      <w:r>
        <w:rPr>
          <w:rFonts w:ascii="华文楷体" w:eastAsia="华文楷体" w:hAnsi="华文楷体" w:hint="eastAsia"/>
        </w:rPr>
        <w:t>1.35</w:t>
      </w:r>
      <w:r>
        <w:rPr>
          <w:rFonts w:ascii="华文楷体" w:eastAsia="华文楷体" w:hAnsi="华文楷体" w:hint="eastAsia"/>
        </w:rPr>
        <w:t>亿，其中自然人投资者</w:t>
      </w:r>
      <w:r>
        <w:rPr>
          <w:rFonts w:ascii="华文楷体" w:eastAsia="华文楷体" w:hAnsi="华文楷体" w:hint="eastAsia"/>
        </w:rPr>
        <w:t>1.348</w:t>
      </w:r>
      <w:r>
        <w:rPr>
          <w:rFonts w:ascii="华文楷体" w:eastAsia="华文楷体" w:hAnsi="华文楷体" w:hint="eastAsia"/>
        </w:rPr>
        <w:t>亿，占比</w:t>
      </w:r>
      <w:r>
        <w:rPr>
          <w:rFonts w:ascii="华文楷体" w:eastAsia="华文楷体" w:hAnsi="华文楷体" w:hint="eastAsia"/>
        </w:rPr>
        <w:t>99.73%</w:t>
      </w:r>
      <w:r>
        <w:rPr>
          <w:rFonts w:ascii="华文楷体" w:eastAsia="华文楷体" w:hAnsi="华文楷体" w:hint="eastAsia"/>
        </w:rPr>
        <w:t>；机构投资者</w:t>
      </w:r>
      <w:r>
        <w:rPr>
          <w:rFonts w:ascii="华文楷体" w:eastAsia="华文楷体" w:hAnsi="华文楷体" w:hint="eastAsia"/>
        </w:rPr>
        <w:t>36.4</w:t>
      </w:r>
      <w:r>
        <w:rPr>
          <w:rFonts w:ascii="华文楷体" w:eastAsia="华文楷体" w:hAnsi="华文楷体" w:hint="eastAsia"/>
        </w:rPr>
        <w:t>万，占比</w:t>
      </w:r>
      <w:r>
        <w:rPr>
          <w:rFonts w:ascii="华文楷体" w:eastAsia="华文楷体" w:hAnsi="华文楷体" w:hint="eastAsia"/>
        </w:rPr>
        <w:t>0.27%</w:t>
      </w:r>
      <w:r>
        <w:rPr>
          <w:rFonts w:ascii="华文楷体" w:eastAsia="华文楷体" w:hAnsi="华文楷体" w:hint="eastAsia"/>
        </w:rPr>
        <w:t>。持有</w:t>
      </w:r>
      <w:r>
        <w:rPr>
          <w:rFonts w:ascii="华文楷体" w:eastAsia="华文楷体" w:hAnsi="华文楷体" w:hint="eastAsia"/>
        </w:rPr>
        <w:t>A</w:t>
      </w:r>
      <w:r>
        <w:rPr>
          <w:rFonts w:ascii="华文楷体" w:eastAsia="华文楷体" w:hAnsi="华文楷体" w:hint="eastAsia"/>
        </w:rPr>
        <w:t>股市值</w:t>
      </w:r>
      <w:r>
        <w:rPr>
          <w:rFonts w:ascii="华文楷体" w:eastAsia="华文楷体" w:hAnsi="华文楷体" w:hint="eastAsia"/>
        </w:rPr>
        <w:t>50</w:t>
      </w:r>
      <w:r>
        <w:rPr>
          <w:rFonts w:ascii="华文楷体" w:eastAsia="华文楷体" w:hAnsi="华文楷体" w:hint="eastAsia"/>
        </w:rPr>
        <w:t>万以下的自然人投资者</w:t>
      </w:r>
      <w:r>
        <w:rPr>
          <w:rFonts w:ascii="华文楷体" w:eastAsia="华文楷体" w:hAnsi="华文楷体" w:hint="eastAsia"/>
        </w:rPr>
        <w:t>1.28</w:t>
      </w:r>
      <w:r>
        <w:rPr>
          <w:rFonts w:ascii="华文楷体" w:eastAsia="华文楷体" w:hAnsi="华文楷体" w:hint="eastAsia"/>
        </w:rPr>
        <w:t>亿，占自然人投资者总数的</w:t>
      </w:r>
      <w:r>
        <w:rPr>
          <w:rFonts w:ascii="华文楷体" w:eastAsia="华文楷体" w:hAnsi="华文楷体" w:hint="eastAsia"/>
        </w:rPr>
        <w:t>95%</w:t>
      </w:r>
      <w:r>
        <w:rPr>
          <w:rFonts w:ascii="华文楷体" w:eastAsia="华文楷体" w:hAnsi="华文楷体" w:hint="eastAsia"/>
        </w:rPr>
        <w:t>。</w:t>
      </w:r>
    </w:p>
    <w:p w14:paraId="1E763438" w14:textId="77777777" w:rsidR="00ED5EBF" w:rsidRDefault="00ED5EBF">
      <w:pPr>
        <w:spacing w:line="360" w:lineRule="auto"/>
        <w:ind w:right="357" w:firstLineChars="200" w:firstLine="480"/>
        <w:rPr>
          <w:rFonts w:ascii="华文楷体" w:eastAsia="华文楷体" w:hAnsi="华文楷体"/>
        </w:rPr>
      </w:pPr>
    </w:p>
    <w:p w14:paraId="37BE0A35"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保护好中小投资者的权益成为资本市场最大的政治。在证监会党委的领导下，投保局与投保基金公司、投服中心，共同搭建起了“一体两翼”的投资者保护体系，即投保局代表证监会牵头抓总，统筹协调系统资源，依托投保基金公司和投服中心开展各项具体工作。</w:t>
      </w:r>
    </w:p>
    <w:p w14:paraId="109A6022" w14:textId="77777777" w:rsidR="00ED5EBF" w:rsidRDefault="00ED5EBF">
      <w:pPr>
        <w:spacing w:line="360" w:lineRule="auto"/>
        <w:ind w:right="357" w:firstLineChars="200" w:firstLine="480"/>
        <w:rPr>
          <w:rFonts w:ascii="华文楷体" w:eastAsia="华文楷体" w:hAnsi="华文楷体"/>
        </w:rPr>
      </w:pPr>
    </w:p>
    <w:p w14:paraId="0D66B9C4"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投保局局长赵敏介绍，目前我国资本市场已初步形成覆盖</w:t>
      </w:r>
      <w:r>
        <w:rPr>
          <w:rFonts w:ascii="华文楷体" w:eastAsia="华文楷体" w:hAnsi="华文楷体" w:hint="eastAsia"/>
        </w:rPr>
        <w:t>投保各业务领域的制度体系。</w:t>
      </w:r>
    </w:p>
    <w:p w14:paraId="38F15DA2" w14:textId="77777777" w:rsidR="00ED5EBF" w:rsidRDefault="00ED5EBF">
      <w:pPr>
        <w:spacing w:line="360" w:lineRule="auto"/>
        <w:ind w:right="357" w:firstLineChars="200" w:firstLine="480"/>
        <w:rPr>
          <w:rFonts w:ascii="华文楷体" w:eastAsia="华文楷体" w:hAnsi="华文楷体"/>
        </w:rPr>
      </w:pPr>
    </w:p>
    <w:p w14:paraId="1EA1E9FE"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十八大以来，在股票发行改革、退市、并购重组、公司债券、新三板等各业务条线的</w:t>
      </w:r>
      <w:r>
        <w:rPr>
          <w:rFonts w:ascii="华文楷体" w:eastAsia="华文楷体" w:hAnsi="华文楷体" w:hint="eastAsia"/>
        </w:rPr>
        <w:t>140</w:t>
      </w:r>
      <w:r>
        <w:rPr>
          <w:rFonts w:ascii="华文楷体" w:eastAsia="华文楷体" w:hAnsi="华文楷体" w:hint="eastAsia"/>
        </w:rPr>
        <w:t>余项制度建设中全面嵌入投资者保护要求，包括在《关于进一步推进新股发行体制改革的意见》《首次公开发行股票并在创业板上市管理办法》等发行制度改革中强化市场经营主体责任；在《关于进一步严格实施上市公司退市制度的若干意见》等上市公司退市制度中强化投资者保护；在上市公司章程指引、股东大会规则、《关于首发及再融资、重大资产重组摊薄即期回报有关事项的指导意见》等部门规章和自律规则中持续完善上市公司治理规则体系和回</w:t>
      </w:r>
      <w:r>
        <w:rPr>
          <w:rFonts w:ascii="华文楷体" w:eastAsia="华文楷体" w:hAnsi="华文楷体" w:hint="eastAsia"/>
        </w:rPr>
        <w:t>报机制。</w:t>
      </w:r>
    </w:p>
    <w:p w14:paraId="449A7C75" w14:textId="77777777" w:rsidR="00ED5EBF" w:rsidRDefault="00ED5EBF">
      <w:pPr>
        <w:spacing w:line="360" w:lineRule="auto"/>
        <w:ind w:right="357" w:firstLineChars="200" w:firstLine="480"/>
        <w:rPr>
          <w:rFonts w:ascii="华文楷体" w:eastAsia="华文楷体" w:hAnsi="华文楷体"/>
        </w:rPr>
      </w:pPr>
    </w:p>
    <w:p w14:paraId="75A55D68"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针对近期市场对退市制度完善后，配套投资者保护制度如何跟上的担心，赵敏表示，之前出台的退市指导意见中，已经强调了退市过程中的投资者保护。在近期相关的征求意见稿中，缩短重大违法退市情形的暂停上市期间、延长其他重大违法退市的公司申请重新上市时间间隔、强化风险提示的信息披露要求等都是对投资者保护的具体安排。</w:t>
      </w:r>
    </w:p>
    <w:p w14:paraId="63FD54DE" w14:textId="77777777" w:rsidR="00ED5EBF" w:rsidRDefault="00ED5EBF">
      <w:pPr>
        <w:spacing w:line="360" w:lineRule="auto"/>
        <w:ind w:right="357" w:firstLineChars="200" w:firstLine="480"/>
        <w:rPr>
          <w:rFonts w:ascii="华文楷体" w:eastAsia="华文楷体" w:hAnsi="华文楷体"/>
        </w:rPr>
      </w:pPr>
    </w:p>
    <w:p w14:paraId="08ADACAE"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对于支持“四新”企业上市可能带来的投资者保护新问题，赵敏表示，在投资者保护制度安排的大框架下，针对资本市场的新产品、新业务都会有相应的投资者保护制度安排和调整。</w:t>
      </w:r>
    </w:p>
    <w:p w14:paraId="09C6557F" w14:textId="77777777" w:rsidR="00ED5EBF" w:rsidRDefault="00ED5EBF">
      <w:pPr>
        <w:spacing w:line="360" w:lineRule="auto"/>
        <w:ind w:right="357" w:firstLineChars="200" w:firstLine="480"/>
        <w:rPr>
          <w:rFonts w:ascii="华文楷体" w:eastAsia="华文楷体" w:hAnsi="华文楷体"/>
        </w:rPr>
      </w:pPr>
    </w:p>
    <w:p w14:paraId="18CAAB27"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赵敏表示，下一步，将继续完善投保制度，并将其切实落到各个链条和环节。已经将相关机构落实适当性制度纳入日常检查中。正在研究形成先行赔付的长效机制。</w:t>
      </w:r>
    </w:p>
    <w:p w14:paraId="3214AB9E" w14:textId="77777777" w:rsidR="00ED5EBF" w:rsidRDefault="00ED5EBF">
      <w:pPr>
        <w:spacing w:line="360" w:lineRule="auto"/>
        <w:ind w:right="357" w:firstLineChars="200" w:firstLine="480"/>
        <w:rPr>
          <w:rFonts w:ascii="华文楷体" w:eastAsia="华文楷体" w:hAnsi="华文楷体"/>
        </w:rPr>
      </w:pPr>
    </w:p>
    <w:p w14:paraId="5E08ABEE"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协助提供执法信息</w:t>
      </w:r>
      <w:r>
        <w:rPr>
          <w:rFonts w:ascii="华文楷体" w:eastAsia="华文楷体" w:hAnsi="华文楷体" w:hint="eastAsia"/>
        </w:rPr>
        <w:t>5000</w:t>
      </w:r>
      <w:r>
        <w:rPr>
          <w:rFonts w:ascii="华文楷体" w:eastAsia="华文楷体" w:hAnsi="华文楷体" w:hint="eastAsia"/>
        </w:rPr>
        <w:t>余万条</w:t>
      </w:r>
    </w:p>
    <w:p w14:paraId="0DB8BA02" w14:textId="77777777" w:rsidR="00ED5EBF" w:rsidRDefault="00ED5EBF">
      <w:pPr>
        <w:spacing w:line="360" w:lineRule="auto"/>
        <w:ind w:right="357" w:firstLineChars="200" w:firstLine="480"/>
        <w:rPr>
          <w:rFonts w:ascii="华文楷体" w:eastAsia="华文楷体" w:hAnsi="华文楷体"/>
        </w:rPr>
      </w:pPr>
    </w:p>
    <w:p w14:paraId="02C48B76"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近年来，投保基金公司逐步构建起了投资者保护的四大业务体系，分别是：以证券交易结算资金监控系统和统计分析系统为依托的证券公司风险监控监测体系；以投保基金、专项补偿基金和行政和解金为主体的投资者赔付体系；以解决投资者诉求和倾听投资者意见为核心的投资者诉求响应体系；以评估市场主体投资者保护状况为主要内容的投资者保护状况评价体系。</w:t>
      </w:r>
    </w:p>
    <w:p w14:paraId="4926F234" w14:textId="77777777" w:rsidR="00ED5EBF" w:rsidRDefault="00ED5EBF">
      <w:pPr>
        <w:spacing w:line="360" w:lineRule="auto"/>
        <w:ind w:right="357" w:firstLineChars="200" w:firstLine="480"/>
        <w:rPr>
          <w:rFonts w:ascii="华文楷体" w:eastAsia="华文楷体" w:hAnsi="华文楷体"/>
        </w:rPr>
      </w:pPr>
    </w:p>
    <w:p w14:paraId="7626818B"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投</w:t>
      </w:r>
      <w:r>
        <w:rPr>
          <w:rFonts w:ascii="华文楷体" w:eastAsia="华文楷体" w:hAnsi="华文楷体" w:hint="eastAsia"/>
        </w:rPr>
        <w:t>保基金公司副董事长、总经理巩海滨介绍，证券市场交易结算资金监控系统就是要守住投资者的“钱袋子”。目前公司已经实现对证券市场场内、场外</w:t>
      </w:r>
      <w:r>
        <w:rPr>
          <w:rFonts w:ascii="华文楷体" w:eastAsia="华文楷体" w:hAnsi="华文楷体" w:hint="eastAsia"/>
        </w:rPr>
        <w:t>2.29</w:t>
      </w:r>
      <w:r>
        <w:rPr>
          <w:rFonts w:ascii="华文楷体" w:eastAsia="华文楷体" w:hAnsi="华文楷体" w:hint="eastAsia"/>
        </w:rPr>
        <w:t>亿个投资者资金账户的全覆盖，形成了“及时发现、及时报告、及时处理、及时整改”的动态机制。仅</w:t>
      </w:r>
      <w:r>
        <w:rPr>
          <w:rFonts w:ascii="华文楷体" w:eastAsia="华文楷体" w:hAnsi="华文楷体" w:hint="eastAsia"/>
        </w:rPr>
        <w:t>2017</w:t>
      </w:r>
      <w:r>
        <w:rPr>
          <w:rFonts w:ascii="华文楷体" w:eastAsia="华文楷体" w:hAnsi="华文楷体" w:hint="eastAsia"/>
        </w:rPr>
        <w:t>年就完成了对近</w:t>
      </w:r>
      <w:r>
        <w:rPr>
          <w:rFonts w:ascii="华文楷体" w:eastAsia="华文楷体" w:hAnsi="华文楷体" w:hint="eastAsia"/>
        </w:rPr>
        <w:t>40</w:t>
      </w:r>
      <w:r>
        <w:rPr>
          <w:rFonts w:ascii="华文楷体" w:eastAsia="华文楷体" w:hAnsi="华文楷体" w:hint="eastAsia"/>
        </w:rPr>
        <w:t>万条监控差异的分析判断，向监管部门推送了</w:t>
      </w:r>
      <w:r>
        <w:rPr>
          <w:rFonts w:ascii="华文楷体" w:eastAsia="华文楷体" w:hAnsi="华文楷体" w:hint="eastAsia"/>
        </w:rPr>
        <w:t>192</w:t>
      </w:r>
      <w:r>
        <w:rPr>
          <w:rFonts w:ascii="华文楷体" w:eastAsia="华文楷体" w:hAnsi="华文楷体" w:hint="eastAsia"/>
        </w:rPr>
        <w:t>条预警提示信息，涉及</w:t>
      </w:r>
      <w:r>
        <w:rPr>
          <w:rFonts w:ascii="华文楷体" w:eastAsia="华文楷体" w:hAnsi="华文楷体" w:hint="eastAsia"/>
        </w:rPr>
        <w:t>73</w:t>
      </w:r>
      <w:r>
        <w:rPr>
          <w:rFonts w:ascii="华文楷体" w:eastAsia="华文楷体" w:hAnsi="华文楷体" w:hint="eastAsia"/>
        </w:rPr>
        <w:t>家证券公司和</w:t>
      </w:r>
      <w:r>
        <w:rPr>
          <w:rFonts w:ascii="华文楷体" w:eastAsia="华文楷体" w:hAnsi="华文楷体" w:hint="eastAsia"/>
        </w:rPr>
        <w:t>12</w:t>
      </w:r>
      <w:r>
        <w:rPr>
          <w:rFonts w:ascii="华文楷体" w:eastAsia="华文楷体" w:hAnsi="华文楷体" w:hint="eastAsia"/>
        </w:rPr>
        <w:t>家存管银行。</w:t>
      </w:r>
    </w:p>
    <w:p w14:paraId="3E449B5F" w14:textId="77777777" w:rsidR="00ED5EBF" w:rsidRDefault="00ED5EBF">
      <w:pPr>
        <w:spacing w:line="360" w:lineRule="auto"/>
        <w:ind w:right="357" w:firstLineChars="200" w:firstLine="480"/>
        <w:rPr>
          <w:rFonts w:ascii="华文楷体" w:eastAsia="华文楷体" w:hAnsi="华文楷体"/>
        </w:rPr>
      </w:pPr>
    </w:p>
    <w:p w14:paraId="69095850"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同时，近两年，为适应证监会依法全面从严稽查执法的需要，公司充分利用大数据资源，全方位配合证监会系统稽查执法部门做好大案要案查处工作，仅</w:t>
      </w:r>
      <w:r>
        <w:rPr>
          <w:rFonts w:ascii="华文楷体" w:eastAsia="华文楷体" w:hAnsi="华文楷体" w:hint="eastAsia"/>
        </w:rPr>
        <w:t>2017</w:t>
      </w:r>
      <w:r>
        <w:rPr>
          <w:rFonts w:ascii="华文楷体" w:eastAsia="华文楷体" w:hAnsi="华文楷体" w:hint="eastAsia"/>
        </w:rPr>
        <w:t>年就协助提供</w:t>
      </w:r>
      <w:r>
        <w:rPr>
          <w:rFonts w:ascii="华文楷体" w:eastAsia="华文楷体" w:hAnsi="华文楷体" w:hint="eastAsia"/>
        </w:rPr>
        <w:t>执法信息</w:t>
      </w:r>
      <w:r>
        <w:rPr>
          <w:rFonts w:ascii="华文楷体" w:eastAsia="华文楷体" w:hAnsi="华文楷体" w:hint="eastAsia"/>
        </w:rPr>
        <w:t>5000</w:t>
      </w:r>
      <w:r>
        <w:rPr>
          <w:rFonts w:ascii="华文楷体" w:eastAsia="华文楷体" w:hAnsi="华文楷体" w:hint="eastAsia"/>
        </w:rPr>
        <w:t>余万条。</w:t>
      </w:r>
    </w:p>
    <w:p w14:paraId="268DD5DF" w14:textId="77777777" w:rsidR="00ED5EBF" w:rsidRDefault="00ED5EBF">
      <w:pPr>
        <w:spacing w:line="360" w:lineRule="auto"/>
        <w:ind w:right="357" w:firstLineChars="200" w:firstLine="480"/>
        <w:rPr>
          <w:rFonts w:ascii="华文楷体" w:eastAsia="华文楷体" w:hAnsi="华文楷体"/>
        </w:rPr>
      </w:pPr>
    </w:p>
    <w:p w14:paraId="2A529990"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此外，投保基金的以投保基金、专项补偿基金和行政和解金为主体的多层次投资者赔付体系当好了投资的“算盘子”，通过投资者和市场调查体系、</w:t>
      </w:r>
      <w:r>
        <w:rPr>
          <w:rFonts w:ascii="华文楷体" w:eastAsia="华文楷体" w:hAnsi="华文楷体" w:hint="eastAsia"/>
        </w:rPr>
        <w:t>12386</w:t>
      </w:r>
      <w:r>
        <w:rPr>
          <w:rFonts w:ascii="华文楷体" w:eastAsia="华文楷体" w:hAnsi="华文楷体" w:hint="eastAsia"/>
        </w:rPr>
        <w:t>热线等成为了投资者的“话匣子”，将投资者保护状况评价打造成了投保工作评估的“铁尺子”。</w:t>
      </w:r>
    </w:p>
    <w:p w14:paraId="3DDA0314" w14:textId="77777777" w:rsidR="00ED5EBF" w:rsidRDefault="00ED5EBF">
      <w:pPr>
        <w:spacing w:line="360" w:lineRule="auto"/>
        <w:ind w:right="357" w:firstLineChars="200" w:firstLine="480"/>
        <w:rPr>
          <w:rFonts w:ascii="华文楷体" w:eastAsia="华文楷体" w:hAnsi="华文楷体"/>
        </w:rPr>
      </w:pPr>
    </w:p>
    <w:p w14:paraId="6FB4E0F7"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积极研究推动证券支持诉讼示范判决机制试点</w:t>
      </w:r>
    </w:p>
    <w:p w14:paraId="0927679C" w14:textId="77777777" w:rsidR="00ED5EBF" w:rsidRDefault="00ED5EBF">
      <w:pPr>
        <w:spacing w:line="360" w:lineRule="auto"/>
        <w:ind w:right="357" w:firstLineChars="200" w:firstLine="480"/>
        <w:rPr>
          <w:rFonts w:ascii="华文楷体" w:eastAsia="华文楷体" w:hAnsi="华文楷体"/>
        </w:rPr>
      </w:pPr>
    </w:p>
    <w:p w14:paraId="47BE7329"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中证中小投资者服务中心是证监会直接管理的公益性投资者保护专门机构。近两年，投服中心开展的持股行权活动在上市公司、中介机构和中小投资者中产生广泛影响。</w:t>
      </w:r>
    </w:p>
    <w:p w14:paraId="7054BB2B" w14:textId="77777777" w:rsidR="00ED5EBF" w:rsidRDefault="00ED5EBF">
      <w:pPr>
        <w:spacing w:line="360" w:lineRule="auto"/>
        <w:ind w:right="357" w:firstLineChars="200" w:firstLine="480"/>
        <w:rPr>
          <w:rFonts w:ascii="华文楷体" w:eastAsia="华文楷体" w:hAnsi="华文楷体"/>
        </w:rPr>
      </w:pPr>
    </w:p>
    <w:p w14:paraId="7D9D4133"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投服中心总经理徐明介绍，截至</w:t>
      </w:r>
      <w:r>
        <w:rPr>
          <w:rFonts w:ascii="华文楷体" w:eastAsia="华文楷体" w:hAnsi="华文楷体" w:hint="eastAsia"/>
        </w:rPr>
        <w:t>2017</w:t>
      </w:r>
      <w:r>
        <w:rPr>
          <w:rFonts w:ascii="华文楷体" w:eastAsia="华文楷体" w:hAnsi="华文楷体" w:hint="eastAsia"/>
        </w:rPr>
        <w:t>年</w:t>
      </w:r>
      <w:r>
        <w:rPr>
          <w:rFonts w:ascii="华文楷体" w:eastAsia="华文楷体" w:hAnsi="华文楷体" w:hint="eastAsia"/>
        </w:rPr>
        <w:t>12</w:t>
      </w:r>
      <w:r>
        <w:rPr>
          <w:rFonts w:ascii="华文楷体" w:eastAsia="华文楷体" w:hAnsi="华文楷体" w:hint="eastAsia"/>
        </w:rPr>
        <w:t>月，共公益性持有</w:t>
      </w:r>
      <w:r>
        <w:rPr>
          <w:rFonts w:ascii="华文楷体" w:eastAsia="华文楷体" w:hAnsi="华文楷体" w:hint="eastAsia"/>
        </w:rPr>
        <w:t>沪深两市</w:t>
      </w:r>
      <w:r>
        <w:rPr>
          <w:rFonts w:ascii="华文楷体" w:eastAsia="华文楷体" w:hAnsi="华文楷体" w:hint="eastAsia"/>
        </w:rPr>
        <w:t>3442</w:t>
      </w:r>
      <w:r>
        <w:rPr>
          <w:rFonts w:ascii="华文楷体" w:eastAsia="华文楷体" w:hAnsi="华文楷体" w:hint="eastAsia"/>
        </w:rPr>
        <w:t>家上市公司每家一手（</w:t>
      </w:r>
      <w:r>
        <w:rPr>
          <w:rFonts w:ascii="华文楷体" w:eastAsia="华文楷体" w:hAnsi="华文楷体" w:hint="eastAsia"/>
        </w:rPr>
        <w:t>100</w:t>
      </w:r>
      <w:r>
        <w:rPr>
          <w:rFonts w:ascii="华文楷体" w:eastAsia="华文楷体" w:hAnsi="华文楷体" w:hint="eastAsia"/>
        </w:rPr>
        <w:t>股）</w:t>
      </w:r>
      <w:r>
        <w:rPr>
          <w:rFonts w:ascii="华文楷体" w:eastAsia="华文楷体" w:hAnsi="华文楷体" w:hint="eastAsia"/>
        </w:rPr>
        <w:t>A</w:t>
      </w:r>
      <w:r>
        <w:rPr>
          <w:rFonts w:ascii="华文楷体" w:eastAsia="华文楷体" w:hAnsi="华文楷体" w:hint="eastAsia"/>
        </w:rPr>
        <w:t>股股票，投服中心已经实现了沪深</w:t>
      </w:r>
      <w:r>
        <w:rPr>
          <w:rFonts w:ascii="华文楷体" w:eastAsia="华文楷体" w:hAnsi="华文楷体" w:hint="eastAsia"/>
        </w:rPr>
        <w:t>A</w:t>
      </w:r>
      <w:r>
        <w:rPr>
          <w:rFonts w:ascii="华文楷体" w:eastAsia="华文楷体" w:hAnsi="华文楷体" w:hint="eastAsia"/>
        </w:rPr>
        <w:t>股持股全覆盖。据统计，目前已经向</w:t>
      </w:r>
      <w:r>
        <w:rPr>
          <w:rFonts w:ascii="华文楷体" w:eastAsia="华文楷体" w:hAnsi="华文楷体" w:hint="eastAsia"/>
        </w:rPr>
        <w:t>1521</w:t>
      </w:r>
      <w:r>
        <w:rPr>
          <w:rFonts w:ascii="华文楷体" w:eastAsia="华文楷体" w:hAnsi="华文楷体" w:hint="eastAsia"/>
        </w:rPr>
        <w:t>家上市公司累计行权</w:t>
      </w:r>
      <w:r>
        <w:rPr>
          <w:rFonts w:ascii="华文楷体" w:eastAsia="华文楷体" w:hAnsi="华文楷体" w:hint="eastAsia"/>
        </w:rPr>
        <w:t>1876</w:t>
      </w:r>
      <w:r>
        <w:rPr>
          <w:rFonts w:ascii="华文楷体" w:eastAsia="华文楷体" w:hAnsi="华文楷体" w:hint="eastAsia"/>
        </w:rPr>
        <w:t>次；参加重大资产重组媒体说明会及投资者说明会</w:t>
      </w:r>
      <w:r>
        <w:rPr>
          <w:rFonts w:ascii="华文楷体" w:eastAsia="华文楷体" w:hAnsi="华文楷体" w:hint="eastAsia"/>
        </w:rPr>
        <w:t>36</w:t>
      </w:r>
      <w:r>
        <w:rPr>
          <w:rFonts w:ascii="华文楷体" w:eastAsia="华文楷体" w:hAnsi="华文楷体" w:hint="eastAsia"/>
        </w:rPr>
        <w:t>次，涉及重组金额</w:t>
      </w:r>
      <w:r>
        <w:rPr>
          <w:rFonts w:ascii="华文楷体" w:eastAsia="华文楷体" w:hAnsi="华文楷体" w:hint="eastAsia"/>
        </w:rPr>
        <w:t>2387</w:t>
      </w:r>
      <w:r>
        <w:rPr>
          <w:rFonts w:ascii="华文楷体" w:eastAsia="华文楷体" w:hAnsi="华文楷体" w:hint="eastAsia"/>
        </w:rPr>
        <w:t>亿元、股东户数共计</w:t>
      </w:r>
      <w:r>
        <w:rPr>
          <w:rFonts w:ascii="华文楷体" w:eastAsia="华文楷体" w:hAnsi="华文楷体" w:hint="eastAsia"/>
        </w:rPr>
        <w:t>140</w:t>
      </w:r>
      <w:r>
        <w:rPr>
          <w:rFonts w:ascii="华文楷体" w:eastAsia="华文楷体" w:hAnsi="华文楷体" w:hint="eastAsia"/>
        </w:rPr>
        <w:t>万户。</w:t>
      </w:r>
    </w:p>
    <w:p w14:paraId="14DB46FA" w14:textId="77777777" w:rsidR="00ED5EBF" w:rsidRDefault="00ED5EBF">
      <w:pPr>
        <w:spacing w:line="360" w:lineRule="auto"/>
        <w:ind w:right="357" w:firstLineChars="200" w:firstLine="480"/>
        <w:rPr>
          <w:rFonts w:ascii="华文楷体" w:eastAsia="华文楷体" w:hAnsi="华文楷体"/>
        </w:rPr>
      </w:pPr>
    </w:p>
    <w:p w14:paraId="3B3EABA1"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今年的最高人民法院工作报告和最高人民检察院工作报告中，列入投服中心提起支持诉讼的全国首例证券支持诉讼“匹凸匹”案。徐明表示，这是从中小投资者维权小额、多众的现状出发，投服中心借鉴诉讼法中的相关条款的立法精神，选择典型案例，创新推出证券支持诉讼机制，示范维护中小</w:t>
      </w:r>
      <w:r>
        <w:rPr>
          <w:rFonts w:ascii="华文楷体" w:eastAsia="华文楷体" w:hAnsi="华文楷体" w:hint="eastAsia"/>
        </w:rPr>
        <w:t>投资者合法权益。</w:t>
      </w:r>
    </w:p>
    <w:p w14:paraId="6E4B0BEA" w14:textId="77777777" w:rsidR="00ED5EBF" w:rsidRDefault="00ED5EBF">
      <w:pPr>
        <w:spacing w:line="360" w:lineRule="auto"/>
        <w:ind w:right="357" w:firstLineChars="200" w:firstLine="480"/>
        <w:rPr>
          <w:rFonts w:ascii="华文楷体" w:eastAsia="华文楷体" w:hAnsi="华文楷体"/>
        </w:rPr>
      </w:pPr>
    </w:p>
    <w:p w14:paraId="5014F456"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徐明表示，下一步，投服中心将积极研究推动证券支持诉讼示范判决机制试点工作，通过法院对有代表性案件的优先审理，明确同类案件的法律事实或证据、争议焦点、统一相关案件法律适用，为后续广大投资者的诉讼提供示范依据，降低各方成本，提高效率。此外，中国投资者网站也正在酝酿上线中。</w:t>
      </w:r>
    </w:p>
    <w:p w14:paraId="4EEE6979" w14:textId="77777777" w:rsidR="00ED5EBF" w:rsidRDefault="00ED5EBF">
      <w:pPr>
        <w:spacing w:line="360" w:lineRule="auto"/>
        <w:ind w:right="357" w:firstLineChars="200" w:firstLine="480"/>
        <w:rPr>
          <w:rFonts w:ascii="华文楷体" w:eastAsia="华文楷体" w:hAnsi="华文楷体"/>
        </w:rPr>
      </w:pPr>
    </w:p>
    <w:p w14:paraId="2B5125D1" w14:textId="77777777" w:rsidR="00ED5EBF" w:rsidRDefault="00ED5EBF">
      <w:pPr>
        <w:spacing w:line="360" w:lineRule="auto"/>
        <w:ind w:right="357" w:firstLineChars="200" w:firstLine="480"/>
        <w:rPr>
          <w:rFonts w:ascii="华文楷体" w:eastAsia="华文楷体" w:hAnsi="华文楷体"/>
        </w:rPr>
      </w:pPr>
    </w:p>
    <w:p w14:paraId="63249B1D" w14:textId="77777777" w:rsidR="00ED5EBF" w:rsidRDefault="00ED5EBF">
      <w:pPr>
        <w:spacing w:line="360" w:lineRule="auto"/>
        <w:ind w:right="357" w:firstLineChars="200" w:firstLine="480"/>
        <w:rPr>
          <w:rFonts w:ascii="华文楷体" w:eastAsia="华文楷体" w:hAnsi="华文楷体"/>
        </w:rPr>
      </w:pPr>
    </w:p>
    <w:p w14:paraId="0E5F9FB9" w14:textId="77777777" w:rsidR="00ED5EBF" w:rsidRDefault="00ED5EBF">
      <w:pPr>
        <w:spacing w:line="360" w:lineRule="auto"/>
        <w:ind w:right="357" w:firstLineChars="200" w:firstLine="480"/>
        <w:rPr>
          <w:rFonts w:ascii="华文楷体" w:eastAsia="华文楷体" w:hAnsi="华文楷体"/>
        </w:rPr>
      </w:pPr>
    </w:p>
    <w:p w14:paraId="057F3D2C" w14:textId="77777777" w:rsidR="00ED5EBF" w:rsidRDefault="00ED5EBF">
      <w:pPr>
        <w:spacing w:line="360" w:lineRule="auto"/>
        <w:ind w:right="357" w:firstLineChars="200" w:firstLine="480"/>
        <w:rPr>
          <w:rFonts w:ascii="华文楷体" w:eastAsia="华文楷体" w:hAnsi="华文楷体"/>
        </w:rPr>
      </w:pPr>
    </w:p>
    <w:p w14:paraId="7D5A86F7" w14:textId="77777777" w:rsidR="00ED5EBF" w:rsidRDefault="00ED5EBF">
      <w:pPr>
        <w:spacing w:line="360" w:lineRule="auto"/>
        <w:ind w:right="357" w:firstLineChars="200" w:firstLine="480"/>
        <w:rPr>
          <w:rFonts w:ascii="华文楷体" w:eastAsia="华文楷体" w:hAnsi="华文楷体"/>
        </w:rPr>
      </w:pPr>
    </w:p>
    <w:p w14:paraId="14F8A499" w14:textId="77777777" w:rsidR="00ED5EBF" w:rsidRDefault="00ED5EBF">
      <w:pPr>
        <w:spacing w:line="360" w:lineRule="auto"/>
        <w:ind w:right="357" w:firstLineChars="200" w:firstLine="480"/>
        <w:rPr>
          <w:rFonts w:ascii="华文楷体" w:eastAsia="华文楷体" w:hAnsi="华文楷体"/>
        </w:rPr>
      </w:pPr>
    </w:p>
    <w:p w14:paraId="21CF4698" w14:textId="77777777" w:rsidR="00ED5EBF" w:rsidRDefault="00ED5EBF">
      <w:pPr>
        <w:spacing w:line="360" w:lineRule="auto"/>
        <w:ind w:right="357" w:firstLineChars="200" w:firstLine="480"/>
        <w:rPr>
          <w:rFonts w:ascii="华文楷体" w:eastAsia="华文楷体" w:hAnsi="华文楷体"/>
        </w:rPr>
      </w:pPr>
    </w:p>
    <w:p w14:paraId="27D3F3DC" w14:textId="77777777" w:rsidR="00ED5EBF" w:rsidRDefault="00ED5EBF">
      <w:pPr>
        <w:spacing w:line="360" w:lineRule="auto"/>
        <w:ind w:right="357" w:firstLineChars="200" w:firstLine="480"/>
        <w:rPr>
          <w:rFonts w:ascii="华文楷体" w:eastAsia="华文楷体" w:hAnsi="华文楷体"/>
        </w:rPr>
      </w:pPr>
    </w:p>
    <w:p w14:paraId="093F1312" w14:textId="77777777" w:rsidR="00ED5EBF" w:rsidRDefault="00ED5EBF">
      <w:pPr>
        <w:spacing w:line="360" w:lineRule="auto"/>
        <w:ind w:right="357" w:firstLineChars="200" w:firstLine="480"/>
        <w:rPr>
          <w:rFonts w:ascii="华文楷体" w:eastAsia="华文楷体" w:hAnsi="华文楷体"/>
        </w:rPr>
      </w:pPr>
    </w:p>
    <w:p w14:paraId="53CB4C57" w14:textId="77777777" w:rsidR="00ED5EBF" w:rsidRDefault="00ED5EBF">
      <w:pPr>
        <w:spacing w:line="360" w:lineRule="auto"/>
        <w:rPr>
          <w:rFonts w:ascii="华文楷体" w:eastAsia="华文楷体" w:hAnsi="华文楷体" w:cs="华文楷体"/>
        </w:rPr>
      </w:pPr>
    </w:p>
    <w:p w14:paraId="393C854A" w14:textId="77777777" w:rsidR="00ED5EBF" w:rsidRDefault="00ED5EBF">
      <w:pPr>
        <w:spacing w:line="360" w:lineRule="auto"/>
        <w:rPr>
          <w:rFonts w:ascii="华文楷体" w:eastAsia="华文楷体" w:hAnsi="华文楷体" w:cs="华文楷体"/>
        </w:rPr>
      </w:pPr>
    </w:p>
    <w:p w14:paraId="61D23FFF" w14:textId="77777777" w:rsidR="00ED5EBF" w:rsidRDefault="00ED5EBF">
      <w:pPr>
        <w:spacing w:line="360" w:lineRule="auto"/>
        <w:rPr>
          <w:rFonts w:ascii="华文楷体" w:eastAsia="华文楷体" w:hAnsi="华文楷体" w:cs="华文楷体"/>
        </w:rPr>
      </w:pPr>
    </w:p>
    <w:p w14:paraId="59EE0ADA" w14:textId="77777777" w:rsidR="00ED5EBF" w:rsidRDefault="002034C8">
      <w:pPr>
        <w:spacing w:line="360" w:lineRule="auto"/>
        <w:jc w:val="center"/>
        <w:rPr>
          <w:rFonts w:ascii="华文中宋" w:eastAsia="华文中宋" w:hAnsi="华文中宋" w:cs="华文中宋"/>
          <w:b/>
          <w:bCs/>
        </w:rPr>
      </w:pPr>
      <w:bookmarkStart w:id="31" w:name="中国保监会关于调整部分地区商业车险自主定价范围的通知"/>
      <w:r>
        <w:rPr>
          <w:rFonts w:ascii="华文中宋" w:eastAsia="华文中宋" w:hAnsi="华文中宋" w:cs="华文中宋" w:hint="eastAsia"/>
          <w:b/>
          <w:bCs/>
        </w:rPr>
        <w:t>中国保监会关于调整部分地区商业车险自主定价范围的通知</w:t>
      </w:r>
      <w:bookmarkEnd w:id="31"/>
    </w:p>
    <w:p w14:paraId="1C2338A5" w14:textId="77777777" w:rsidR="00ED5EBF" w:rsidRDefault="002034C8">
      <w:pPr>
        <w:spacing w:line="360" w:lineRule="auto"/>
        <w:jc w:val="center"/>
        <w:rPr>
          <w:rFonts w:ascii="华文楷体" w:eastAsia="华文楷体" w:hAnsi="华文楷体" w:cs="华文楷体"/>
          <w:sz w:val="21"/>
          <w:szCs w:val="21"/>
        </w:rPr>
      </w:pPr>
      <w:r>
        <w:rPr>
          <w:rFonts w:ascii="华文楷体" w:eastAsia="华文楷体" w:hAnsi="华文楷体" w:cs="华文楷体" w:hint="eastAsia"/>
          <w:sz w:val="21"/>
          <w:szCs w:val="21"/>
        </w:rPr>
        <w:t>日期：</w:t>
      </w:r>
      <w:r>
        <w:rPr>
          <w:rFonts w:ascii="华文楷体" w:eastAsia="华文楷体" w:hAnsi="华文楷体" w:cs="华文楷体" w:hint="eastAsia"/>
          <w:sz w:val="21"/>
          <w:szCs w:val="21"/>
        </w:rPr>
        <w:t>2018</w:t>
      </w:r>
      <w:r>
        <w:rPr>
          <w:rFonts w:ascii="华文楷体" w:eastAsia="华文楷体" w:hAnsi="华文楷体" w:cs="华文楷体" w:hint="eastAsia"/>
          <w:sz w:val="21"/>
          <w:szCs w:val="21"/>
        </w:rPr>
        <w:t>年</w:t>
      </w:r>
      <w:r>
        <w:rPr>
          <w:rFonts w:ascii="华文楷体" w:eastAsia="华文楷体" w:hAnsi="华文楷体" w:cs="华文楷体" w:hint="eastAsia"/>
          <w:sz w:val="21"/>
          <w:szCs w:val="21"/>
        </w:rPr>
        <w:t>3</w:t>
      </w:r>
      <w:r>
        <w:rPr>
          <w:rFonts w:ascii="华文楷体" w:eastAsia="华文楷体" w:hAnsi="华文楷体" w:cs="华文楷体" w:hint="eastAsia"/>
          <w:sz w:val="21"/>
          <w:szCs w:val="21"/>
        </w:rPr>
        <w:t>月</w:t>
      </w:r>
      <w:r>
        <w:rPr>
          <w:rFonts w:ascii="华文楷体" w:eastAsia="华文楷体" w:hAnsi="华文楷体" w:cs="华文楷体" w:hint="eastAsia"/>
          <w:sz w:val="21"/>
          <w:szCs w:val="21"/>
        </w:rPr>
        <w:t>15</w:t>
      </w:r>
      <w:r>
        <w:rPr>
          <w:rFonts w:ascii="华文楷体" w:eastAsia="华文楷体" w:hAnsi="华文楷体" w:cs="华文楷体" w:hint="eastAsia"/>
          <w:sz w:val="21"/>
          <w:szCs w:val="21"/>
        </w:rPr>
        <w:t>日</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来源：保监会</w:t>
      </w:r>
    </w:p>
    <w:p w14:paraId="0E40D78E"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保监财险〔</w:t>
      </w:r>
      <w:r>
        <w:rPr>
          <w:rFonts w:ascii="华文楷体" w:eastAsia="华文楷体" w:hAnsi="华文楷体" w:cs="华文楷体" w:hint="eastAsia"/>
        </w:rPr>
        <w:t>2018</w:t>
      </w:r>
      <w:r>
        <w:rPr>
          <w:rFonts w:ascii="华文楷体" w:eastAsia="华文楷体" w:hAnsi="华文楷体" w:cs="华文楷体" w:hint="eastAsia"/>
        </w:rPr>
        <w:t>〕</w:t>
      </w:r>
      <w:r>
        <w:rPr>
          <w:rFonts w:ascii="华文楷体" w:eastAsia="华文楷体" w:hAnsi="华文楷体" w:cs="华文楷体" w:hint="eastAsia"/>
        </w:rPr>
        <w:t>61</w:t>
      </w:r>
      <w:r>
        <w:rPr>
          <w:rFonts w:ascii="华文楷体" w:eastAsia="华文楷体" w:hAnsi="华文楷体" w:cs="华文楷体" w:hint="eastAsia"/>
        </w:rPr>
        <w:t>号</w:t>
      </w:r>
    </w:p>
    <w:p w14:paraId="689A0C3E" w14:textId="77777777" w:rsidR="00ED5EBF" w:rsidRDefault="00ED5EBF">
      <w:pPr>
        <w:spacing w:line="360" w:lineRule="auto"/>
        <w:rPr>
          <w:rFonts w:ascii="华文楷体" w:eastAsia="华文楷体" w:hAnsi="华文楷体" w:cs="华文楷体"/>
        </w:rPr>
      </w:pPr>
    </w:p>
    <w:p w14:paraId="78D4A66C"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各财产保险公司：</w:t>
      </w:r>
      <w:r>
        <w:rPr>
          <w:rFonts w:ascii="华文楷体" w:eastAsia="华文楷体" w:hAnsi="华文楷体" w:cs="华文楷体" w:hint="eastAsia"/>
        </w:rPr>
        <w:t xml:space="preserve"> </w:t>
      </w:r>
    </w:p>
    <w:p w14:paraId="11017FC3" w14:textId="77777777" w:rsidR="00ED5EBF" w:rsidRDefault="00ED5EBF">
      <w:pPr>
        <w:spacing w:line="360" w:lineRule="auto"/>
        <w:ind w:firstLineChars="200" w:firstLine="480"/>
        <w:rPr>
          <w:rFonts w:ascii="华文楷体" w:eastAsia="华文楷体" w:hAnsi="华文楷体" w:cs="华文楷体"/>
        </w:rPr>
      </w:pPr>
    </w:p>
    <w:p w14:paraId="018F1F81"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根据《中国保监会关于深化商业车险条款费率管理制度改革的意见》（保监发〔</w:t>
      </w:r>
      <w:r>
        <w:rPr>
          <w:rFonts w:ascii="华文楷体" w:eastAsia="华文楷体" w:hAnsi="华文楷体" w:cs="华文楷体" w:hint="eastAsia"/>
        </w:rPr>
        <w:t>2015</w:t>
      </w:r>
      <w:r>
        <w:rPr>
          <w:rFonts w:ascii="华文楷体" w:eastAsia="华文楷体" w:hAnsi="华文楷体" w:cs="华文楷体" w:hint="eastAsia"/>
        </w:rPr>
        <w:t>〕</w:t>
      </w:r>
      <w:r>
        <w:rPr>
          <w:rFonts w:ascii="华文楷体" w:eastAsia="华文楷体" w:hAnsi="华文楷体" w:cs="华文楷体" w:hint="eastAsia"/>
        </w:rPr>
        <w:t>18</w:t>
      </w:r>
      <w:r>
        <w:rPr>
          <w:rFonts w:ascii="华文楷体" w:eastAsia="华文楷体" w:hAnsi="华文楷体" w:cs="华文楷体" w:hint="eastAsia"/>
        </w:rPr>
        <w:t>号），更好地发挥市场在资源配置中的决定性作用，现就调整部分地区商业车险自主定价范围有关事宜通知如下：</w:t>
      </w:r>
      <w:r>
        <w:rPr>
          <w:rFonts w:ascii="华文楷体" w:eastAsia="华文楷体" w:hAnsi="华文楷体" w:cs="华文楷体" w:hint="eastAsia"/>
        </w:rPr>
        <w:t xml:space="preserve"> </w:t>
      </w:r>
    </w:p>
    <w:p w14:paraId="6AB84C29" w14:textId="77777777" w:rsidR="00ED5EBF" w:rsidRDefault="00ED5EBF">
      <w:pPr>
        <w:spacing w:line="360" w:lineRule="auto"/>
        <w:ind w:firstLineChars="200" w:firstLine="480"/>
        <w:rPr>
          <w:rFonts w:ascii="华文楷体" w:eastAsia="华文楷体" w:hAnsi="华文楷体" w:cs="华文楷体"/>
        </w:rPr>
      </w:pPr>
    </w:p>
    <w:p w14:paraId="3B4EB8DB"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财产保险公司使用中国保险行业协会机动车商业保险示范条款的，可依据相关法律法规要求</w:t>
      </w:r>
      <w:r>
        <w:rPr>
          <w:rFonts w:ascii="华文楷体" w:eastAsia="华文楷体" w:hAnsi="华文楷体" w:cs="华文楷体" w:hint="eastAsia"/>
        </w:rPr>
        <w:t>,</w:t>
      </w:r>
      <w:r>
        <w:rPr>
          <w:rFonts w:ascii="华文楷体" w:eastAsia="华文楷体" w:hAnsi="华文楷体" w:cs="华文楷体" w:hint="eastAsia"/>
        </w:rPr>
        <w:t>在以下范围内拟订商业车险自主核保系数、自主渠道系数费率调整方案，报经中国保监会批准后使用：</w:t>
      </w:r>
      <w:r>
        <w:rPr>
          <w:rFonts w:ascii="华文楷体" w:eastAsia="华文楷体" w:hAnsi="华文楷体" w:cs="华文楷体" w:hint="eastAsia"/>
        </w:rPr>
        <w:t xml:space="preserve"> </w:t>
      </w:r>
    </w:p>
    <w:p w14:paraId="56168771" w14:textId="77777777" w:rsidR="00ED5EBF" w:rsidRDefault="00ED5EBF">
      <w:pPr>
        <w:spacing w:line="360" w:lineRule="auto"/>
        <w:ind w:firstLineChars="200" w:firstLine="480"/>
        <w:rPr>
          <w:rFonts w:ascii="华文楷体" w:eastAsia="华文楷体" w:hAnsi="华文楷体" w:cs="华文楷体"/>
        </w:rPr>
      </w:pPr>
    </w:p>
    <w:p w14:paraId="3956EABE"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（一）在四川保监局辖区，自主核保系数调整范围为</w:t>
      </w:r>
      <w:r>
        <w:rPr>
          <w:rFonts w:ascii="华文楷体" w:eastAsia="华文楷体" w:hAnsi="华文楷体" w:cs="华文楷体" w:hint="eastAsia"/>
        </w:rPr>
        <w:t>[0.65</w:t>
      </w:r>
      <w:r>
        <w:rPr>
          <w:rFonts w:ascii="华文楷体" w:eastAsia="华文楷体" w:hAnsi="华文楷体" w:cs="华文楷体" w:hint="eastAsia"/>
        </w:rPr>
        <w:t>－</w:t>
      </w:r>
      <w:r>
        <w:rPr>
          <w:rFonts w:ascii="华文楷体" w:eastAsia="华文楷体" w:hAnsi="华文楷体" w:cs="华文楷体" w:hint="eastAsia"/>
        </w:rPr>
        <w:t>1.15]</w:t>
      </w:r>
      <w:r>
        <w:rPr>
          <w:rFonts w:ascii="华文楷体" w:eastAsia="华文楷体" w:hAnsi="华文楷体" w:cs="华文楷体" w:hint="eastAsia"/>
        </w:rPr>
        <w:t>，自主渠道系数调整范围为</w:t>
      </w:r>
      <w:r>
        <w:rPr>
          <w:rFonts w:ascii="华文楷体" w:eastAsia="华文楷体" w:hAnsi="华文楷体" w:cs="华文楷体" w:hint="eastAsia"/>
        </w:rPr>
        <w:t>[0.65</w:t>
      </w:r>
      <w:r>
        <w:rPr>
          <w:rFonts w:ascii="华文楷体" w:eastAsia="华文楷体" w:hAnsi="华文楷体" w:cs="华文楷体" w:hint="eastAsia"/>
        </w:rPr>
        <w:t>－</w:t>
      </w:r>
      <w:r>
        <w:rPr>
          <w:rFonts w:ascii="华文楷体" w:eastAsia="华文楷体" w:hAnsi="华文楷体" w:cs="华文楷体" w:hint="eastAsia"/>
        </w:rPr>
        <w:t>1.15]</w:t>
      </w:r>
      <w:r>
        <w:rPr>
          <w:rFonts w:ascii="华文楷体" w:eastAsia="华文楷体" w:hAnsi="华文楷体" w:cs="华文楷体" w:hint="eastAsia"/>
        </w:rPr>
        <w:t>。</w:t>
      </w:r>
      <w:r>
        <w:rPr>
          <w:rFonts w:ascii="华文楷体" w:eastAsia="华文楷体" w:hAnsi="华文楷体" w:cs="华文楷体" w:hint="eastAsia"/>
        </w:rPr>
        <w:t xml:space="preserve"> </w:t>
      </w:r>
    </w:p>
    <w:p w14:paraId="56785C0E" w14:textId="77777777" w:rsidR="00ED5EBF" w:rsidRDefault="00ED5EBF">
      <w:pPr>
        <w:spacing w:line="360" w:lineRule="auto"/>
        <w:ind w:firstLineChars="200" w:firstLine="480"/>
        <w:rPr>
          <w:rFonts w:ascii="华文楷体" w:eastAsia="华文楷体" w:hAnsi="华文楷体" w:cs="华文楷体"/>
        </w:rPr>
      </w:pPr>
    </w:p>
    <w:p w14:paraId="6270678A"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（二）在山西、福建、山</w:t>
      </w:r>
      <w:r>
        <w:rPr>
          <w:rFonts w:ascii="华文楷体" w:eastAsia="华文楷体" w:hAnsi="华文楷体" w:cs="华文楷体" w:hint="eastAsia"/>
        </w:rPr>
        <w:t>东、河南、厦门保监局辖区，自主核保系数调整范围为</w:t>
      </w:r>
      <w:r>
        <w:rPr>
          <w:rFonts w:ascii="华文楷体" w:eastAsia="华文楷体" w:hAnsi="华文楷体" w:cs="华文楷体" w:hint="eastAsia"/>
        </w:rPr>
        <w:t>[0.70</w:t>
      </w:r>
      <w:r>
        <w:rPr>
          <w:rFonts w:ascii="华文楷体" w:eastAsia="华文楷体" w:hAnsi="华文楷体" w:cs="华文楷体" w:hint="eastAsia"/>
        </w:rPr>
        <w:t>－</w:t>
      </w:r>
      <w:r>
        <w:rPr>
          <w:rFonts w:ascii="华文楷体" w:eastAsia="华文楷体" w:hAnsi="华文楷体" w:cs="华文楷体" w:hint="eastAsia"/>
        </w:rPr>
        <w:t>1.15]</w:t>
      </w:r>
      <w:r>
        <w:rPr>
          <w:rFonts w:ascii="华文楷体" w:eastAsia="华文楷体" w:hAnsi="华文楷体" w:cs="华文楷体" w:hint="eastAsia"/>
        </w:rPr>
        <w:t>，自主渠道系数调整范围为</w:t>
      </w:r>
      <w:r>
        <w:rPr>
          <w:rFonts w:ascii="华文楷体" w:eastAsia="华文楷体" w:hAnsi="华文楷体" w:cs="华文楷体" w:hint="eastAsia"/>
        </w:rPr>
        <w:t>[0.70</w:t>
      </w:r>
      <w:r>
        <w:rPr>
          <w:rFonts w:ascii="华文楷体" w:eastAsia="华文楷体" w:hAnsi="华文楷体" w:cs="华文楷体" w:hint="eastAsia"/>
        </w:rPr>
        <w:t>－</w:t>
      </w:r>
      <w:r>
        <w:rPr>
          <w:rFonts w:ascii="华文楷体" w:eastAsia="华文楷体" w:hAnsi="华文楷体" w:cs="华文楷体" w:hint="eastAsia"/>
        </w:rPr>
        <w:t>1.15]</w:t>
      </w:r>
      <w:r>
        <w:rPr>
          <w:rFonts w:ascii="华文楷体" w:eastAsia="华文楷体" w:hAnsi="华文楷体" w:cs="华文楷体" w:hint="eastAsia"/>
        </w:rPr>
        <w:t>。</w:t>
      </w:r>
      <w:r>
        <w:rPr>
          <w:rFonts w:ascii="华文楷体" w:eastAsia="华文楷体" w:hAnsi="华文楷体" w:cs="华文楷体" w:hint="eastAsia"/>
        </w:rPr>
        <w:t xml:space="preserve"> </w:t>
      </w:r>
    </w:p>
    <w:p w14:paraId="0D410CE7" w14:textId="77777777" w:rsidR="00ED5EBF" w:rsidRDefault="00ED5EBF">
      <w:pPr>
        <w:spacing w:line="360" w:lineRule="auto"/>
        <w:ind w:firstLineChars="200" w:firstLine="480"/>
        <w:rPr>
          <w:rFonts w:ascii="华文楷体" w:eastAsia="华文楷体" w:hAnsi="华文楷体" w:cs="华文楷体"/>
        </w:rPr>
      </w:pPr>
    </w:p>
    <w:p w14:paraId="13989F63"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（三）在新疆保监局辖区，自主核保系数调整范围为</w:t>
      </w:r>
      <w:r>
        <w:rPr>
          <w:rFonts w:ascii="华文楷体" w:eastAsia="华文楷体" w:hAnsi="华文楷体" w:cs="华文楷体" w:hint="eastAsia"/>
        </w:rPr>
        <w:t>[0.75</w:t>
      </w:r>
      <w:r>
        <w:rPr>
          <w:rFonts w:ascii="华文楷体" w:eastAsia="华文楷体" w:hAnsi="华文楷体" w:cs="华文楷体" w:hint="eastAsia"/>
        </w:rPr>
        <w:t>－</w:t>
      </w:r>
      <w:r>
        <w:rPr>
          <w:rFonts w:ascii="华文楷体" w:eastAsia="华文楷体" w:hAnsi="华文楷体" w:cs="华文楷体" w:hint="eastAsia"/>
        </w:rPr>
        <w:t>1.15]</w:t>
      </w:r>
      <w:r>
        <w:rPr>
          <w:rFonts w:ascii="华文楷体" w:eastAsia="华文楷体" w:hAnsi="华文楷体" w:cs="华文楷体" w:hint="eastAsia"/>
        </w:rPr>
        <w:t>，自主渠道系数调整范围为</w:t>
      </w:r>
      <w:r>
        <w:rPr>
          <w:rFonts w:ascii="华文楷体" w:eastAsia="华文楷体" w:hAnsi="华文楷体" w:cs="华文楷体" w:hint="eastAsia"/>
        </w:rPr>
        <w:t>[0.75</w:t>
      </w:r>
      <w:r>
        <w:rPr>
          <w:rFonts w:ascii="华文楷体" w:eastAsia="华文楷体" w:hAnsi="华文楷体" w:cs="华文楷体" w:hint="eastAsia"/>
        </w:rPr>
        <w:t>－</w:t>
      </w:r>
      <w:r>
        <w:rPr>
          <w:rFonts w:ascii="华文楷体" w:eastAsia="华文楷体" w:hAnsi="华文楷体" w:cs="华文楷体" w:hint="eastAsia"/>
        </w:rPr>
        <w:t>1.15]</w:t>
      </w:r>
      <w:r>
        <w:rPr>
          <w:rFonts w:ascii="华文楷体" w:eastAsia="华文楷体" w:hAnsi="华文楷体" w:cs="华文楷体" w:hint="eastAsia"/>
        </w:rPr>
        <w:t>。</w:t>
      </w:r>
      <w:r>
        <w:rPr>
          <w:rFonts w:ascii="华文楷体" w:eastAsia="华文楷体" w:hAnsi="华文楷体" w:cs="华文楷体" w:hint="eastAsia"/>
        </w:rPr>
        <w:t xml:space="preserve"> </w:t>
      </w:r>
    </w:p>
    <w:p w14:paraId="6127458C" w14:textId="77777777" w:rsidR="00ED5EBF" w:rsidRDefault="00ED5EBF">
      <w:pPr>
        <w:spacing w:line="360" w:lineRule="auto"/>
        <w:ind w:firstLineChars="200" w:firstLine="480"/>
        <w:rPr>
          <w:rFonts w:ascii="华文楷体" w:eastAsia="华文楷体" w:hAnsi="华文楷体" w:cs="华文楷体"/>
        </w:rPr>
      </w:pPr>
    </w:p>
    <w:p w14:paraId="3AA3E89F"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本通知未尽事宜，参照《中国保监会关于商业车险费率调整及管理等有关问题的通知》（保监产险〔</w:t>
      </w:r>
      <w:r>
        <w:rPr>
          <w:rFonts w:ascii="华文楷体" w:eastAsia="华文楷体" w:hAnsi="华文楷体" w:cs="华文楷体" w:hint="eastAsia"/>
        </w:rPr>
        <w:t>2017</w:t>
      </w:r>
      <w:r>
        <w:rPr>
          <w:rFonts w:ascii="华文楷体" w:eastAsia="华文楷体" w:hAnsi="华文楷体" w:cs="华文楷体" w:hint="eastAsia"/>
        </w:rPr>
        <w:t>〕</w:t>
      </w:r>
      <w:r>
        <w:rPr>
          <w:rFonts w:ascii="华文楷体" w:eastAsia="华文楷体" w:hAnsi="华文楷体" w:cs="华文楷体" w:hint="eastAsia"/>
        </w:rPr>
        <w:t>145</w:t>
      </w:r>
      <w:r>
        <w:rPr>
          <w:rFonts w:ascii="华文楷体" w:eastAsia="华文楷体" w:hAnsi="华文楷体" w:cs="华文楷体" w:hint="eastAsia"/>
        </w:rPr>
        <w:t>号）有关要求执行。</w:t>
      </w:r>
      <w:r>
        <w:rPr>
          <w:rFonts w:ascii="华文楷体" w:eastAsia="华文楷体" w:hAnsi="华文楷体" w:cs="华文楷体" w:hint="eastAsia"/>
        </w:rPr>
        <w:t xml:space="preserve"> </w:t>
      </w:r>
    </w:p>
    <w:p w14:paraId="3D1FF0A8" w14:textId="77777777" w:rsidR="00ED5EBF" w:rsidRDefault="00ED5EBF">
      <w:pPr>
        <w:spacing w:line="360" w:lineRule="auto"/>
        <w:ind w:firstLineChars="200" w:firstLine="480"/>
        <w:rPr>
          <w:rFonts w:ascii="华文楷体" w:eastAsia="华文楷体" w:hAnsi="华文楷体" w:cs="华文楷体"/>
        </w:rPr>
      </w:pPr>
    </w:p>
    <w:p w14:paraId="0D602F28"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本通知自发布之日起实施。</w:t>
      </w:r>
      <w:r>
        <w:rPr>
          <w:rFonts w:ascii="华文楷体" w:eastAsia="华文楷体" w:hAnsi="华文楷体" w:cs="华文楷体" w:hint="eastAsia"/>
        </w:rPr>
        <w:t xml:space="preserve"> </w:t>
      </w:r>
    </w:p>
    <w:p w14:paraId="3DFDC801" w14:textId="77777777" w:rsidR="00ED5EBF" w:rsidRDefault="00ED5EBF">
      <w:pPr>
        <w:spacing w:line="360" w:lineRule="auto"/>
        <w:ind w:firstLineChars="200" w:firstLine="480"/>
        <w:rPr>
          <w:rFonts w:ascii="华文楷体" w:eastAsia="华文楷体" w:hAnsi="华文楷体" w:cs="华文楷体"/>
        </w:rPr>
      </w:pPr>
    </w:p>
    <w:p w14:paraId="4BEEAA3A" w14:textId="77777777" w:rsidR="00ED5EBF" w:rsidRDefault="002034C8">
      <w:pPr>
        <w:spacing w:line="360" w:lineRule="auto"/>
        <w:ind w:firstLineChars="200" w:firstLine="480"/>
        <w:jc w:val="right"/>
        <w:rPr>
          <w:rFonts w:ascii="华文楷体" w:eastAsia="华文楷体" w:hAnsi="华文楷体" w:cs="华文楷体"/>
        </w:rPr>
      </w:pPr>
      <w:r>
        <w:rPr>
          <w:rFonts w:ascii="华文楷体" w:eastAsia="华文楷体" w:hAnsi="华文楷体" w:cs="华文楷体" w:hint="eastAsia"/>
        </w:rPr>
        <w:t>中国保监会</w:t>
      </w:r>
      <w:r>
        <w:rPr>
          <w:rFonts w:ascii="华文楷体" w:eastAsia="华文楷体" w:hAnsi="华文楷体" w:cs="华文楷体" w:hint="eastAsia"/>
        </w:rPr>
        <w:t xml:space="preserve"> </w:t>
      </w:r>
    </w:p>
    <w:p w14:paraId="1E054113" w14:textId="77777777" w:rsidR="00ED5EBF" w:rsidRDefault="002034C8">
      <w:pPr>
        <w:spacing w:line="360" w:lineRule="auto"/>
        <w:ind w:firstLineChars="200" w:firstLine="480"/>
        <w:jc w:val="right"/>
        <w:rPr>
          <w:rFonts w:ascii="华文楷体" w:eastAsia="华文楷体" w:hAnsi="华文楷体" w:cs="华文楷体"/>
        </w:rPr>
      </w:pPr>
      <w:r>
        <w:rPr>
          <w:rFonts w:ascii="华文楷体" w:eastAsia="华文楷体" w:hAnsi="华文楷体" w:cs="华文楷体" w:hint="eastAsia"/>
        </w:rPr>
        <w:t>2018</w:t>
      </w:r>
      <w:r>
        <w:rPr>
          <w:rFonts w:ascii="华文楷体" w:eastAsia="华文楷体" w:hAnsi="华文楷体" w:cs="华文楷体" w:hint="eastAsia"/>
        </w:rPr>
        <w:t>年</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8</w:t>
      </w:r>
      <w:r>
        <w:rPr>
          <w:rFonts w:ascii="华文楷体" w:eastAsia="华文楷体" w:hAnsi="华文楷体" w:cs="华文楷体" w:hint="eastAsia"/>
        </w:rPr>
        <w:t>日</w:t>
      </w:r>
      <w:r>
        <w:rPr>
          <w:rFonts w:ascii="华文楷体" w:eastAsia="华文楷体" w:hAnsi="华文楷体" w:cs="华文楷体" w:hint="eastAsia"/>
        </w:rPr>
        <w:t xml:space="preserve"> </w:t>
      </w:r>
    </w:p>
    <w:p w14:paraId="4A9E2CC0" w14:textId="77777777" w:rsidR="00ED5EBF" w:rsidRDefault="00ED5EBF">
      <w:pPr>
        <w:spacing w:line="360" w:lineRule="auto"/>
        <w:ind w:firstLineChars="200" w:firstLine="480"/>
        <w:jc w:val="right"/>
        <w:rPr>
          <w:rFonts w:ascii="华文楷体" w:eastAsia="华文楷体" w:hAnsi="华文楷体" w:cs="华文楷体"/>
        </w:rPr>
      </w:pPr>
    </w:p>
    <w:p w14:paraId="31279A17" w14:textId="77777777" w:rsidR="00ED5EBF" w:rsidRDefault="00ED5EBF">
      <w:pPr>
        <w:spacing w:line="360" w:lineRule="auto"/>
        <w:ind w:firstLineChars="200" w:firstLine="480"/>
        <w:jc w:val="right"/>
        <w:rPr>
          <w:rFonts w:ascii="华文楷体" w:eastAsia="华文楷体" w:hAnsi="华文楷体" w:cs="华文楷体"/>
        </w:rPr>
      </w:pPr>
    </w:p>
    <w:p w14:paraId="574F441D" w14:textId="77777777" w:rsidR="00ED5EBF" w:rsidRDefault="00ED5EBF">
      <w:pPr>
        <w:spacing w:line="360" w:lineRule="auto"/>
        <w:ind w:firstLineChars="200" w:firstLine="480"/>
        <w:jc w:val="right"/>
        <w:rPr>
          <w:rFonts w:ascii="华文楷体" w:eastAsia="华文楷体" w:hAnsi="华文楷体" w:cs="华文楷体"/>
        </w:rPr>
      </w:pPr>
    </w:p>
    <w:p w14:paraId="16F4EB9F" w14:textId="77777777" w:rsidR="00ED5EBF" w:rsidRDefault="00ED5EBF">
      <w:pPr>
        <w:spacing w:line="360" w:lineRule="auto"/>
        <w:ind w:firstLineChars="200" w:firstLine="480"/>
        <w:jc w:val="right"/>
        <w:rPr>
          <w:rFonts w:ascii="华文楷体" w:eastAsia="华文楷体" w:hAnsi="华文楷体" w:cs="华文楷体"/>
        </w:rPr>
      </w:pPr>
    </w:p>
    <w:p w14:paraId="4CFFF97E" w14:textId="77777777" w:rsidR="00ED5EBF" w:rsidRDefault="00ED5EBF">
      <w:pPr>
        <w:spacing w:line="360" w:lineRule="auto"/>
        <w:ind w:firstLineChars="200" w:firstLine="480"/>
        <w:jc w:val="right"/>
        <w:rPr>
          <w:rFonts w:ascii="华文楷体" w:eastAsia="华文楷体" w:hAnsi="华文楷体" w:cs="华文楷体"/>
        </w:rPr>
      </w:pPr>
    </w:p>
    <w:p w14:paraId="13134299" w14:textId="77777777" w:rsidR="00ED5EBF" w:rsidRDefault="00ED5EBF">
      <w:pPr>
        <w:spacing w:line="360" w:lineRule="auto"/>
        <w:ind w:firstLineChars="200" w:firstLine="480"/>
        <w:jc w:val="right"/>
        <w:rPr>
          <w:rFonts w:ascii="华文楷体" w:eastAsia="华文楷体" w:hAnsi="华文楷体" w:cs="华文楷体"/>
        </w:rPr>
      </w:pPr>
    </w:p>
    <w:p w14:paraId="64EEA9AB" w14:textId="77777777" w:rsidR="00ED5EBF" w:rsidRDefault="00ED5EBF">
      <w:pPr>
        <w:spacing w:line="360" w:lineRule="auto"/>
        <w:ind w:firstLineChars="200" w:firstLine="480"/>
        <w:jc w:val="right"/>
        <w:rPr>
          <w:rFonts w:ascii="华文楷体" w:eastAsia="华文楷体" w:hAnsi="华文楷体" w:cs="华文楷体"/>
        </w:rPr>
      </w:pPr>
    </w:p>
    <w:p w14:paraId="32EFE6E7" w14:textId="77777777" w:rsidR="00ED5EBF" w:rsidRDefault="00ED5EBF">
      <w:pPr>
        <w:spacing w:line="360" w:lineRule="auto"/>
        <w:ind w:firstLineChars="200" w:firstLine="480"/>
        <w:jc w:val="right"/>
        <w:rPr>
          <w:rFonts w:ascii="华文楷体" w:eastAsia="华文楷体" w:hAnsi="华文楷体" w:cs="华文楷体"/>
        </w:rPr>
      </w:pPr>
    </w:p>
    <w:p w14:paraId="387A0755" w14:textId="77777777" w:rsidR="00ED5EBF" w:rsidRDefault="00ED5EBF">
      <w:pPr>
        <w:spacing w:line="360" w:lineRule="auto"/>
        <w:ind w:firstLineChars="200" w:firstLine="480"/>
        <w:jc w:val="right"/>
        <w:rPr>
          <w:rFonts w:ascii="华文楷体" w:eastAsia="华文楷体" w:hAnsi="华文楷体" w:cs="华文楷体"/>
        </w:rPr>
      </w:pPr>
    </w:p>
    <w:p w14:paraId="3C78126F" w14:textId="77777777" w:rsidR="00ED5EBF" w:rsidRDefault="00ED5EBF">
      <w:pPr>
        <w:spacing w:line="360" w:lineRule="auto"/>
        <w:ind w:firstLineChars="200" w:firstLine="480"/>
        <w:jc w:val="right"/>
        <w:rPr>
          <w:rFonts w:ascii="华文楷体" w:eastAsia="华文楷体" w:hAnsi="华文楷体" w:cs="华文楷体"/>
        </w:rPr>
      </w:pPr>
    </w:p>
    <w:p w14:paraId="6567FBE5" w14:textId="77777777" w:rsidR="00ED5EBF" w:rsidRDefault="00ED5EBF">
      <w:pPr>
        <w:spacing w:line="360" w:lineRule="auto"/>
        <w:ind w:firstLineChars="200" w:firstLine="480"/>
        <w:jc w:val="right"/>
        <w:rPr>
          <w:rFonts w:ascii="华文楷体" w:eastAsia="华文楷体" w:hAnsi="华文楷体" w:cs="华文楷体"/>
        </w:rPr>
      </w:pPr>
    </w:p>
    <w:p w14:paraId="61377CA5" w14:textId="77777777" w:rsidR="00ED5EBF" w:rsidRDefault="00ED5EBF">
      <w:pPr>
        <w:spacing w:line="360" w:lineRule="auto"/>
        <w:ind w:firstLineChars="200" w:firstLine="480"/>
        <w:jc w:val="right"/>
        <w:rPr>
          <w:rFonts w:ascii="华文楷体" w:eastAsia="华文楷体" w:hAnsi="华文楷体" w:cs="华文楷体"/>
        </w:rPr>
      </w:pPr>
    </w:p>
    <w:p w14:paraId="28B5BAD5" w14:textId="77777777" w:rsidR="00ED5EBF" w:rsidRDefault="00ED5EBF">
      <w:pPr>
        <w:spacing w:line="360" w:lineRule="auto"/>
        <w:ind w:firstLineChars="200" w:firstLine="480"/>
        <w:jc w:val="right"/>
        <w:rPr>
          <w:rFonts w:ascii="华文楷体" w:eastAsia="华文楷体" w:hAnsi="华文楷体" w:cs="华文楷体"/>
        </w:rPr>
      </w:pPr>
    </w:p>
    <w:p w14:paraId="5ECD3EA4" w14:textId="77777777" w:rsidR="00ED5EBF" w:rsidRDefault="00ED5EBF">
      <w:pPr>
        <w:spacing w:line="360" w:lineRule="auto"/>
        <w:ind w:firstLineChars="200" w:firstLine="480"/>
        <w:jc w:val="right"/>
        <w:rPr>
          <w:rFonts w:ascii="华文楷体" w:eastAsia="华文楷体" w:hAnsi="华文楷体" w:cs="华文楷体"/>
        </w:rPr>
      </w:pPr>
    </w:p>
    <w:p w14:paraId="02E8FB70" w14:textId="77777777" w:rsidR="00ED5EBF" w:rsidRDefault="002034C8">
      <w:pPr>
        <w:jc w:val="center"/>
        <w:rPr>
          <w:rFonts w:ascii="华文中宋" w:eastAsia="华文中宋" w:hAnsi="华文中宋" w:cs="华文中宋"/>
          <w:b/>
        </w:rPr>
      </w:pPr>
      <w:bookmarkStart w:id="32" w:name="北京银监局全力支持首都经济社会发展优化提升首都核心功能"/>
      <w:r>
        <w:rPr>
          <w:rFonts w:ascii="华文中宋" w:eastAsia="华文中宋" w:hAnsi="华文中宋" w:cs="华文中宋" w:hint="eastAsia"/>
          <w:b/>
        </w:rPr>
        <w:t>北京银监局全力支持首都经济社会发展</w:t>
      </w:r>
    </w:p>
    <w:p w14:paraId="3F02B3B5" w14:textId="77777777" w:rsidR="00ED5EBF" w:rsidRDefault="002034C8">
      <w:pPr>
        <w:jc w:val="center"/>
        <w:rPr>
          <w:b/>
          <w:sz w:val="30"/>
          <w:szCs w:val="30"/>
        </w:rPr>
      </w:pPr>
      <w:r>
        <w:rPr>
          <w:rFonts w:ascii="华文中宋" w:eastAsia="华文中宋" w:hAnsi="华文中宋" w:cs="华文中宋" w:hint="eastAsia"/>
          <w:b/>
        </w:rPr>
        <w:t>优化提升首都核心功能</w:t>
      </w:r>
      <w:bookmarkEnd w:id="32"/>
    </w:p>
    <w:p w14:paraId="65B4ED30" w14:textId="77777777" w:rsidR="00ED5EBF" w:rsidRDefault="002034C8">
      <w:pPr>
        <w:jc w:val="center"/>
        <w:rPr>
          <w:rFonts w:ascii="华文楷体" w:eastAsia="华文楷体" w:hAnsi="华文楷体"/>
        </w:rPr>
      </w:pPr>
      <w:r>
        <w:rPr>
          <w:rFonts w:ascii="华文楷体" w:eastAsia="华文楷体" w:hAnsi="华文楷体" w:hint="eastAsia"/>
        </w:rPr>
        <w:t>发布时间</w:t>
      </w:r>
      <w:r>
        <w:rPr>
          <w:rFonts w:ascii="华文楷体" w:eastAsia="华文楷体" w:hAnsi="华文楷体" w:hint="eastAsia"/>
        </w:rPr>
        <w:t xml:space="preserve"> : 2018-03-12   </w:t>
      </w:r>
      <w:r>
        <w:rPr>
          <w:rFonts w:ascii="华文楷体" w:eastAsia="华文楷体" w:hAnsi="华文楷体" w:hint="eastAsia"/>
        </w:rPr>
        <w:t>文章来源</w:t>
      </w:r>
      <w:r>
        <w:rPr>
          <w:rFonts w:ascii="华文楷体" w:eastAsia="华文楷体" w:hAnsi="华文楷体" w:hint="eastAsia"/>
        </w:rPr>
        <w:t xml:space="preserve">: </w:t>
      </w:r>
      <w:r>
        <w:rPr>
          <w:rFonts w:ascii="华文楷体" w:eastAsia="华文楷体" w:hAnsi="华文楷体" w:hint="eastAsia"/>
        </w:rPr>
        <w:t>中国银监会网站</w:t>
      </w:r>
      <w:r>
        <w:rPr>
          <w:rFonts w:ascii="华文楷体" w:eastAsia="华文楷体" w:hAnsi="华文楷体" w:hint="eastAsia"/>
        </w:rPr>
        <w:t xml:space="preserve">  </w:t>
      </w:r>
    </w:p>
    <w:p w14:paraId="68FC3163" w14:textId="77777777" w:rsidR="00ED5EBF" w:rsidRDefault="00ED5EBF">
      <w:pPr>
        <w:ind w:firstLineChars="200" w:firstLine="480"/>
      </w:pPr>
    </w:p>
    <w:p w14:paraId="2DFF92D6"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2</w:t>
      </w:r>
      <w:r>
        <w:rPr>
          <w:rFonts w:ascii="华文楷体" w:eastAsia="华文楷体" w:hAnsi="华文楷体" w:hint="eastAsia"/>
        </w:rPr>
        <w:t>月</w:t>
      </w:r>
      <w:r>
        <w:rPr>
          <w:rFonts w:ascii="华文楷体" w:eastAsia="华文楷体" w:hAnsi="华文楷体" w:hint="eastAsia"/>
        </w:rPr>
        <w:t>6</w:t>
      </w:r>
      <w:r>
        <w:rPr>
          <w:rFonts w:ascii="华文楷体" w:eastAsia="华文楷体" w:hAnsi="华文楷体" w:hint="eastAsia"/>
        </w:rPr>
        <w:t>日下午，北京银监局召开</w:t>
      </w:r>
      <w:r>
        <w:rPr>
          <w:rFonts w:ascii="华文楷体" w:eastAsia="华文楷体" w:hAnsi="华文楷体" w:hint="eastAsia"/>
        </w:rPr>
        <w:t>2018</w:t>
      </w:r>
      <w:r>
        <w:rPr>
          <w:rFonts w:ascii="华文楷体" w:eastAsia="华文楷体" w:hAnsi="华文楷体" w:hint="eastAsia"/>
        </w:rPr>
        <w:t>年北京银行业监督管理工作会议，研究部署</w:t>
      </w:r>
      <w:r>
        <w:rPr>
          <w:rFonts w:ascii="华文楷体" w:eastAsia="华文楷体" w:hAnsi="华文楷体" w:hint="eastAsia"/>
        </w:rPr>
        <w:t>2018</w:t>
      </w:r>
      <w:r>
        <w:rPr>
          <w:rFonts w:ascii="华文楷体" w:eastAsia="华文楷体" w:hAnsi="华文楷体" w:hint="eastAsia"/>
        </w:rPr>
        <w:t>年工作。</w:t>
      </w:r>
    </w:p>
    <w:p w14:paraId="40B0D67C" w14:textId="77777777" w:rsidR="00ED5EBF" w:rsidRDefault="00ED5EBF">
      <w:pPr>
        <w:spacing w:line="360" w:lineRule="auto"/>
        <w:ind w:firstLineChars="200" w:firstLine="480"/>
        <w:rPr>
          <w:rFonts w:ascii="华文楷体" w:eastAsia="华文楷体" w:hAnsi="华文楷体"/>
        </w:rPr>
      </w:pPr>
    </w:p>
    <w:p w14:paraId="5B213C78"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会议指出，各银行业金融机构要认真按照回归本源、专注主业的要求，更加注重供给侧的存量重组、增量优化和动能转换，着力支持经济发展质量变革、效率变革、动力变革，提升服务实体经济质效。一是大力支持“北京版”供给侧结构性改革。要把更多精力放在培育新兴产业、新旧动能转换上，重点推进破除无效供给、支持培育新动能、降低实体经济成本。二是大力支持国家重大战略实施和北京重点工程建设。要全力支持“一带一路”建设、京津冀协同发展、雄安新区建设等国家重大战略实施，遵循新版北京城市总体规划要求，主动对接城市副中心建设、保障性住房建设、</w:t>
      </w:r>
      <w:r>
        <w:rPr>
          <w:rFonts w:ascii="华文楷体" w:eastAsia="华文楷体" w:hAnsi="华文楷体" w:hint="eastAsia"/>
        </w:rPr>
        <w:t>治理交通拥堵和大气污染等重点工程和项目融资需求。三是服务提升首都核心功能。要积极推进北京全国科技创新中心建设和文化中心建设，努力实现对科技创新和文化创意贷款增速不低于各项贷款平均增速的目标。四是不断提升普惠金融服务水平。努力实现金融服务满意度逐年提升，依法做好消费者权益保护工作；着力提升小微企业金融服务水平，围绕乡村振兴战略强化农村金融服务。</w:t>
      </w:r>
    </w:p>
    <w:p w14:paraId="2519B73D" w14:textId="77777777" w:rsidR="00ED5EBF" w:rsidRDefault="00ED5EBF">
      <w:pPr>
        <w:spacing w:line="360" w:lineRule="auto"/>
        <w:ind w:firstLineChars="200" w:firstLine="480"/>
        <w:rPr>
          <w:rFonts w:ascii="华文楷体" w:eastAsia="华文楷体" w:hAnsi="华文楷体"/>
        </w:rPr>
      </w:pPr>
    </w:p>
    <w:p w14:paraId="66976B5C" w14:textId="77777777" w:rsidR="00ED5EBF" w:rsidRDefault="00ED5EBF">
      <w:pPr>
        <w:spacing w:line="360" w:lineRule="auto"/>
        <w:ind w:firstLineChars="200" w:firstLine="480"/>
        <w:rPr>
          <w:rFonts w:ascii="华文楷体" w:eastAsia="华文楷体" w:hAnsi="华文楷体"/>
        </w:rPr>
      </w:pPr>
    </w:p>
    <w:p w14:paraId="59FE9E35" w14:textId="77777777" w:rsidR="00ED5EBF" w:rsidRDefault="00ED5EBF">
      <w:pPr>
        <w:spacing w:line="360" w:lineRule="auto"/>
      </w:pPr>
    </w:p>
    <w:p w14:paraId="180845C7" w14:textId="77777777" w:rsidR="00ED5EBF" w:rsidRDefault="002034C8">
      <w:pPr>
        <w:spacing w:line="360" w:lineRule="auto"/>
        <w:ind w:firstLineChars="200" w:firstLine="480"/>
        <w:jc w:val="center"/>
        <w:rPr>
          <w:rFonts w:ascii="华文中宋" w:eastAsia="华文中宋" w:hAnsi="华文中宋" w:cs="华文中宋"/>
          <w:b/>
        </w:rPr>
      </w:pPr>
      <w:bookmarkStart w:id="33" w:name="北京辖区上市公司监管动态"/>
      <w:r>
        <w:rPr>
          <w:rFonts w:ascii="华文中宋" w:eastAsia="华文中宋" w:hAnsi="华文中宋" w:cs="华文中宋" w:hint="eastAsia"/>
          <w:b/>
        </w:rPr>
        <w:t>北京辖区上市公司监管动态</w:t>
      </w:r>
      <w:bookmarkEnd w:id="33"/>
    </w:p>
    <w:p w14:paraId="106993B3" w14:textId="77777777" w:rsidR="00ED5EBF" w:rsidRDefault="002034C8">
      <w:pPr>
        <w:spacing w:line="360" w:lineRule="auto"/>
        <w:ind w:firstLineChars="200" w:firstLine="480"/>
        <w:jc w:val="center"/>
        <w:rPr>
          <w:rFonts w:ascii="华文中宋" w:eastAsia="华文中宋" w:hAnsi="华文中宋" w:cs="华文中宋"/>
          <w:b/>
        </w:rPr>
      </w:pPr>
      <w:r>
        <w:rPr>
          <w:rFonts w:ascii="华文中宋" w:eastAsia="华文中宋" w:hAnsi="华文中宋" w:cs="华文中宋" w:hint="eastAsia"/>
          <w:b/>
        </w:rPr>
        <w:t>2017</w:t>
      </w:r>
      <w:r>
        <w:rPr>
          <w:rFonts w:ascii="华文中宋" w:eastAsia="华文中宋" w:hAnsi="华文中宋" w:cs="华文中宋" w:hint="eastAsia"/>
          <w:b/>
        </w:rPr>
        <w:t>年</w:t>
      </w:r>
      <w:r>
        <w:rPr>
          <w:rFonts w:ascii="华文中宋" w:eastAsia="华文中宋" w:hAnsi="华文中宋" w:cs="华文中宋" w:hint="eastAsia"/>
          <w:b/>
        </w:rPr>
        <w:t>4</w:t>
      </w:r>
      <w:r>
        <w:rPr>
          <w:rFonts w:ascii="华文中宋" w:eastAsia="华文中宋" w:hAnsi="华文中宋" w:cs="华文中宋" w:hint="eastAsia"/>
          <w:b/>
        </w:rPr>
        <w:t>季刊（总第</w:t>
      </w:r>
      <w:r>
        <w:rPr>
          <w:rFonts w:ascii="华文中宋" w:eastAsia="华文中宋" w:hAnsi="华文中宋" w:cs="华文中宋" w:hint="eastAsia"/>
          <w:b/>
        </w:rPr>
        <w:t>8</w:t>
      </w:r>
      <w:r>
        <w:rPr>
          <w:rFonts w:ascii="华文中宋" w:eastAsia="华文中宋" w:hAnsi="华文中宋" w:cs="华文中宋" w:hint="eastAsia"/>
          <w:b/>
        </w:rPr>
        <w:t>期）</w:t>
      </w:r>
    </w:p>
    <w:p w14:paraId="3D53FA8B" w14:textId="77777777" w:rsidR="00ED5EBF" w:rsidRDefault="002034C8">
      <w:pPr>
        <w:spacing w:line="360" w:lineRule="auto"/>
        <w:ind w:firstLineChars="200" w:firstLine="480"/>
        <w:jc w:val="center"/>
        <w:rPr>
          <w:rFonts w:ascii="华文楷体" w:eastAsia="华文楷体" w:hAnsi="华文楷体"/>
        </w:rPr>
      </w:pPr>
      <w:r>
        <w:rPr>
          <w:rFonts w:ascii="华文楷体" w:eastAsia="华文楷体" w:hAnsi="华文楷体" w:hint="eastAsia"/>
        </w:rPr>
        <w:t>北京证监局公司监管一、二处</w:t>
      </w:r>
      <w:r>
        <w:rPr>
          <w:rFonts w:ascii="华文楷体" w:eastAsia="华文楷体" w:hAnsi="华文楷体" w:hint="eastAsia"/>
        </w:rPr>
        <w:t xml:space="preserve">    2017</w:t>
      </w:r>
      <w:r>
        <w:rPr>
          <w:rFonts w:ascii="华文楷体" w:eastAsia="华文楷体" w:hAnsi="华文楷体" w:hint="eastAsia"/>
        </w:rPr>
        <w:t>年</w:t>
      </w:r>
      <w:r>
        <w:rPr>
          <w:rFonts w:ascii="华文楷体" w:eastAsia="华文楷体" w:hAnsi="华文楷体" w:hint="eastAsia"/>
        </w:rPr>
        <w:t>12</w:t>
      </w:r>
      <w:r>
        <w:rPr>
          <w:rFonts w:ascii="华文楷体" w:eastAsia="华文楷体" w:hAnsi="华文楷体" w:hint="eastAsia"/>
        </w:rPr>
        <w:t>月</w:t>
      </w:r>
      <w:r>
        <w:rPr>
          <w:rFonts w:ascii="华文楷体" w:eastAsia="华文楷体" w:hAnsi="华文楷体" w:hint="eastAsia"/>
        </w:rPr>
        <w:t>31</w:t>
      </w:r>
      <w:r>
        <w:rPr>
          <w:rFonts w:ascii="华文楷体" w:eastAsia="华文楷体" w:hAnsi="华文楷体" w:hint="eastAsia"/>
        </w:rPr>
        <w:t>日</w:t>
      </w:r>
    </w:p>
    <w:p w14:paraId="59BF6908" w14:textId="77777777" w:rsidR="00ED5EBF" w:rsidRDefault="00ED5EBF">
      <w:pPr>
        <w:spacing w:line="360" w:lineRule="auto"/>
        <w:ind w:firstLineChars="200" w:firstLine="480"/>
        <w:rPr>
          <w:rFonts w:ascii="华文楷体" w:eastAsia="华文楷体" w:hAnsi="华文楷体"/>
        </w:rPr>
      </w:pPr>
    </w:p>
    <w:p w14:paraId="1F2D3D23"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【新增法规及适用】</w:t>
      </w:r>
    </w:p>
    <w:p w14:paraId="258F2A67"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※《公开发行证券的公司信</w:t>
      </w:r>
      <w:r>
        <w:rPr>
          <w:rFonts w:ascii="华文楷体" w:eastAsia="华文楷体" w:hAnsi="华文楷体" w:hint="eastAsia"/>
        </w:rPr>
        <w:t>息披露内容与格式准则第</w:t>
      </w:r>
      <w:r>
        <w:rPr>
          <w:rFonts w:ascii="华文楷体" w:eastAsia="华文楷体" w:hAnsi="华文楷体" w:hint="eastAsia"/>
        </w:rPr>
        <w:t>2</w:t>
      </w:r>
      <w:r>
        <w:rPr>
          <w:rFonts w:ascii="华文楷体" w:eastAsia="华文楷体" w:hAnsi="华文楷体" w:hint="eastAsia"/>
        </w:rPr>
        <w:t>号——年度报告的内容与格式（</w:t>
      </w:r>
      <w:r>
        <w:rPr>
          <w:rFonts w:ascii="华文楷体" w:eastAsia="华文楷体" w:hAnsi="华文楷体" w:hint="eastAsia"/>
        </w:rPr>
        <w:t>2017</w:t>
      </w:r>
      <w:r>
        <w:rPr>
          <w:rFonts w:ascii="华文楷体" w:eastAsia="华文楷体" w:hAnsi="华文楷体" w:hint="eastAsia"/>
        </w:rPr>
        <w:t>年修订）》、《公开发行证券的公司信息披露内容与格式准则第</w:t>
      </w:r>
      <w:r>
        <w:rPr>
          <w:rFonts w:ascii="华文楷体" w:eastAsia="华文楷体" w:hAnsi="华文楷体" w:hint="eastAsia"/>
        </w:rPr>
        <w:t>3</w:t>
      </w:r>
      <w:r>
        <w:rPr>
          <w:rFonts w:ascii="华文楷体" w:eastAsia="华文楷体" w:hAnsi="华文楷体" w:hint="eastAsia"/>
        </w:rPr>
        <w:t>号——半年度报告的内容与格式（</w:t>
      </w:r>
      <w:r>
        <w:rPr>
          <w:rFonts w:ascii="华文楷体" w:eastAsia="华文楷体" w:hAnsi="华文楷体" w:hint="eastAsia"/>
        </w:rPr>
        <w:t>2017</w:t>
      </w:r>
      <w:r>
        <w:rPr>
          <w:rFonts w:ascii="华文楷体" w:eastAsia="华文楷体" w:hAnsi="华文楷体" w:hint="eastAsia"/>
        </w:rPr>
        <w:t>年修订）》</w:t>
      </w:r>
    </w:p>
    <w:p w14:paraId="005A7E39" w14:textId="77777777" w:rsidR="00ED5EBF" w:rsidRDefault="00ED5EBF">
      <w:pPr>
        <w:spacing w:line="360" w:lineRule="auto"/>
        <w:ind w:firstLineChars="200" w:firstLine="480"/>
        <w:rPr>
          <w:rFonts w:ascii="华文楷体" w:eastAsia="华文楷体" w:hAnsi="华文楷体"/>
        </w:rPr>
      </w:pPr>
    </w:p>
    <w:p w14:paraId="2AA90B27"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2017</w:t>
      </w:r>
      <w:r>
        <w:rPr>
          <w:rFonts w:ascii="华文楷体" w:eastAsia="华文楷体" w:hAnsi="华文楷体" w:hint="eastAsia"/>
        </w:rPr>
        <w:t>年</w:t>
      </w:r>
      <w:r>
        <w:rPr>
          <w:rFonts w:ascii="华文楷体" w:eastAsia="华文楷体" w:hAnsi="华文楷体" w:hint="eastAsia"/>
        </w:rPr>
        <w:t>12</w:t>
      </w:r>
      <w:r>
        <w:rPr>
          <w:rFonts w:ascii="华文楷体" w:eastAsia="华文楷体" w:hAnsi="华文楷体" w:hint="eastAsia"/>
        </w:rPr>
        <w:t>月</w:t>
      </w:r>
      <w:r>
        <w:rPr>
          <w:rFonts w:ascii="华文楷体" w:eastAsia="华文楷体" w:hAnsi="华文楷体" w:hint="eastAsia"/>
        </w:rPr>
        <w:t>26</w:t>
      </w:r>
      <w:r>
        <w:rPr>
          <w:rFonts w:ascii="华文楷体" w:eastAsia="华文楷体" w:hAnsi="华文楷体" w:hint="eastAsia"/>
        </w:rPr>
        <w:t>日，证监会对上市公司年度报告和半年度报告信息披露内容与格式准则进行了统一修订，发布《公开发行证券的公司信息披露内容与格式准则第</w:t>
      </w:r>
      <w:r>
        <w:rPr>
          <w:rFonts w:ascii="华文楷体" w:eastAsia="华文楷体" w:hAnsi="华文楷体" w:hint="eastAsia"/>
        </w:rPr>
        <w:t>2</w:t>
      </w:r>
      <w:r>
        <w:rPr>
          <w:rFonts w:ascii="华文楷体" w:eastAsia="华文楷体" w:hAnsi="华文楷体" w:hint="eastAsia"/>
        </w:rPr>
        <w:t>号——年度报告的内容与格式》（</w:t>
      </w:r>
      <w:r>
        <w:rPr>
          <w:rFonts w:ascii="华文楷体" w:eastAsia="华文楷体" w:hAnsi="华文楷体" w:hint="eastAsia"/>
        </w:rPr>
        <w:t>2017</w:t>
      </w:r>
      <w:r>
        <w:rPr>
          <w:rFonts w:ascii="华文楷体" w:eastAsia="华文楷体" w:hAnsi="华文楷体" w:hint="eastAsia"/>
        </w:rPr>
        <w:t>年修订，证监会公告〔</w:t>
      </w:r>
      <w:r>
        <w:rPr>
          <w:rFonts w:ascii="华文楷体" w:eastAsia="华文楷体" w:hAnsi="华文楷体" w:hint="eastAsia"/>
        </w:rPr>
        <w:t>2017</w:t>
      </w:r>
      <w:r>
        <w:rPr>
          <w:rFonts w:ascii="华文楷体" w:eastAsia="华文楷体" w:hAnsi="华文楷体" w:hint="eastAsia"/>
        </w:rPr>
        <w:t>〕</w:t>
      </w:r>
      <w:r>
        <w:rPr>
          <w:rFonts w:ascii="华文楷体" w:eastAsia="华文楷体" w:hAnsi="华文楷体" w:hint="eastAsia"/>
        </w:rPr>
        <w:t>17</w:t>
      </w:r>
      <w:r>
        <w:rPr>
          <w:rFonts w:ascii="华文楷体" w:eastAsia="华文楷体" w:hAnsi="华文楷体" w:hint="eastAsia"/>
        </w:rPr>
        <w:t>号）和《公开发行证券的公司信息披露内容与格式准则第</w:t>
      </w:r>
      <w:r>
        <w:rPr>
          <w:rFonts w:ascii="华文楷体" w:eastAsia="华文楷体" w:hAnsi="华文楷体" w:hint="eastAsia"/>
        </w:rPr>
        <w:t>3</w:t>
      </w:r>
      <w:r>
        <w:rPr>
          <w:rFonts w:ascii="华文楷体" w:eastAsia="华文楷体" w:hAnsi="华文楷体" w:hint="eastAsia"/>
        </w:rPr>
        <w:t>号——半年度报告的内容与格式》（</w:t>
      </w:r>
      <w:r>
        <w:rPr>
          <w:rFonts w:ascii="华文楷体" w:eastAsia="华文楷体" w:hAnsi="华文楷体" w:hint="eastAsia"/>
        </w:rPr>
        <w:t>2017</w:t>
      </w:r>
      <w:r>
        <w:rPr>
          <w:rFonts w:ascii="华文楷体" w:eastAsia="华文楷体" w:hAnsi="华文楷体" w:hint="eastAsia"/>
        </w:rPr>
        <w:t>年修订，证监会公告〔</w:t>
      </w:r>
      <w:r>
        <w:rPr>
          <w:rFonts w:ascii="华文楷体" w:eastAsia="华文楷体" w:hAnsi="华文楷体" w:hint="eastAsia"/>
        </w:rPr>
        <w:t>2017</w:t>
      </w:r>
      <w:r>
        <w:rPr>
          <w:rFonts w:ascii="华文楷体" w:eastAsia="华文楷体" w:hAnsi="华文楷体" w:hint="eastAsia"/>
        </w:rPr>
        <w:t>〕</w:t>
      </w:r>
      <w:r>
        <w:rPr>
          <w:rFonts w:ascii="华文楷体" w:eastAsia="华文楷体" w:hAnsi="华文楷体" w:hint="eastAsia"/>
        </w:rPr>
        <w:t>18</w:t>
      </w:r>
      <w:r>
        <w:rPr>
          <w:rFonts w:ascii="华文楷体" w:eastAsia="华文楷体" w:hAnsi="华文楷体" w:hint="eastAsia"/>
        </w:rPr>
        <w:t>号）。此次修订是证监会深入贯彻落实党的十九大精神，以习近平新时代中国特色社会主义思想为指导，坚持以人民为中心的发展思想，更好发挥资本市场服务实体经济作用，切实维护广大投资者合法权益的重要举措。修订原则和思路包括：一是坚持人与自然和谐共生，明确提出分层次的上市公司环境信息披露制度。二是坚持在发展中保障和改善民生，新增上市公司支持扶贫开发工作的信息披露要求。三是坚持提升我国资本市场国际竞争力，涵盖明晟（</w:t>
      </w:r>
      <w:r>
        <w:rPr>
          <w:rFonts w:ascii="华文楷体" w:eastAsia="华文楷体" w:hAnsi="华文楷体" w:hint="eastAsia"/>
        </w:rPr>
        <w:t>MSCI</w:t>
      </w:r>
      <w:r>
        <w:rPr>
          <w:rFonts w:ascii="华文楷体" w:eastAsia="华文楷体" w:hAnsi="华文楷体" w:hint="eastAsia"/>
        </w:rPr>
        <w:t>）</w:t>
      </w:r>
      <w:r>
        <w:rPr>
          <w:rFonts w:ascii="华文楷体" w:eastAsia="华文楷体" w:hAnsi="华文楷体" w:hint="eastAsia"/>
        </w:rPr>
        <w:t>ESG</w:t>
      </w:r>
      <w:r>
        <w:rPr>
          <w:rFonts w:ascii="华文楷体" w:eastAsia="华文楷体" w:hAnsi="华文楷体" w:hint="eastAsia"/>
        </w:rPr>
        <w:t>评价标准的重要内容。四是坚持防范金融风险，完善委托理财信息披露要求。</w:t>
      </w:r>
    </w:p>
    <w:p w14:paraId="321DA4B9" w14:textId="77777777" w:rsidR="00ED5EBF" w:rsidRDefault="00ED5EBF">
      <w:pPr>
        <w:spacing w:line="360" w:lineRule="auto"/>
        <w:ind w:firstLineChars="200" w:firstLine="480"/>
        <w:rPr>
          <w:rFonts w:ascii="华文楷体" w:eastAsia="华文楷体" w:hAnsi="华文楷体"/>
        </w:rPr>
      </w:pPr>
    </w:p>
    <w:p w14:paraId="36450EFF"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※《资本市场主体全</w:t>
      </w:r>
      <w:r>
        <w:rPr>
          <w:rFonts w:ascii="华文楷体" w:eastAsia="华文楷体" w:hAnsi="华文楷体" w:hint="eastAsia"/>
        </w:rPr>
        <w:t>面实施新审计报告相关准则有关事项的公告》</w:t>
      </w:r>
    </w:p>
    <w:p w14:paraId="125D128C" w14:textId="77777777" w:rsidR="00ED5EBF" w:rsidRDefault="00ED5EBF">
      <w:pPr>
        <w:spacing w:line="360" w:lineRule="auto"/>
        <w:ind w:firstLineChars="200" w:firstLine="480"/>
        <w:rPr>
          <w:rFonts w:ascii="华文楷体" w:eastAsia="华文楷体" w:hAnsi="华文楷体"/>
        </w:rPr>
      </w:pPr>
    </w:p>
    <w:p w14:paraId="179D4A65"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2017</w:t>
      </w:r>
      <w:r>
        <w:rPr>
          <w:rFonts w:ascii="华文楷体" w:eastAsia="华文楷体" w:hAnsi="华文楷体" w:hint="eastAsia"/>
        </w:rPr>
        <w:t>年</w:t>
      </w:r>
      <w:r>
        <w:rPr>
          <w:rFonts w:ascii="华文楷体" w:eastAsia="华文楷体" w:hAnsi="华文楷体" w:hint="eastAsia"/>
        </w:rPr>
        <w:t>12</w:t>
      </w:r>
      <w:r>
        <w:rPr>
          <w:rFonts w:ascii="华文楷体" w:eastAsia="华文楷体" w:hAnsi="华文楷体" w:hint="eastAsia"/>
        </w:rPr>
        <w:t>月</w:t>
      </w:r>
      <w:r>
        <w:rPr>
          <w:rFonts w:ascii="华文楷体" w:eastAsia="华文楷体" w:hAnsi="华文楷体" w:hint="eastAsia"/>
        </w:rPr>
        <w:t>28</w:t>
      </w:r>
      <w:r>
        <w:rPr>
          <w:rFonts w:ascii="华文楷体" w:eastAsia="华文楷体" w:hAnsi="华文楷体" w:hint="eastAsia"/>
        </w:rPr>
        <w:t>日，证监会发布《资本市场主体全面实施新审计报告相关准则有关事项的公告》（证监会公告〔</w:t>
      </w:r>
      <w:r>
        <w:rPr>
          <w:rFonts w:ascii="华文楷体" w:eastAsia="华文楷体" w:hAnsi="华文楷体" w:hint="eastAsia"/>
        </w:rPr>
        <w:t>2017</w:t>
      </w:r>
      <w:r>
        <w:rPr>
          <w:rFonts w:ascii="华文楷体" w:eastAsia="华文楷体" w:hAnsi="华文楷体" w:hint="eastAsia"/>
        </w:rPr>
        <w:t>〕</w:t>
      </w:r>
      <w:r>
        <w:rPr>
          <w:rFonts w:ascii="华文楷体" w:eastAsia="华文楷体" w:hAnsi="华文楷体" w:hint="eastAsia"/>
        </w:rPr>
        <w:t>19</w:t>
      </w:r>
      <w:r>
        <w:rPr>
          <w:rFonts w:ascii="华文楷体" w:eastAsia="华文楷体" w:hAnsi="华文楷体" w:hint="eastAsia"/>
        </w:rPr>
        <w:t>号）</w:t>
      </w:r>
      <w:r>
        <w:rPr>
          <w:rFonts w:ascii="华文楷体" w:eastAsia="华文楷体" w:hAnsi="华文楷体" w:hint="eastAsia"/>
        </w:rPr>
        <w:t>,</w:t>
      </w:r>
      <w:r>
        <w:rPr>
          <w:rFonts w:ascii="华文楷体" w:eastAsia="华文楷体" w:hAnsi="华文楷体" w:hint="eastAsia"/>
        </w:rPr>
        <w:t>对资本市场主体全面实施新审计报告相关准则做出有关规定。　　根据证监会公告〔</w:t>
      </w:r>
      <w:r>
        <w:rPr>
          <w:rFonts w:ascii="华文楷体" w:eastAsia="华文楷体" w:hAnsi="华文楷体" w:hint="eastAsia"/>
        </w:rPr>
        <w:t>2016</w:t>
      </w:r>
      <w:r>
        <w:rPr>
          <w:rFonts w:ascii="华文楷体" w:eastAsia="华文楷体" w:hAnsi="华文楷体" w:hint="eastAsia"/>
        </w:rPr>
        <w:t>〕</w:t>
      </w:r>
      <w:r>
        <w:rPr>
          <w:rFonts w:ascii="华文楷体" w:eastAsia="华文楷体" w:hAnsi="华文楷体" w:hint="eastAsia"/>
        </w:rPr>
        <w:t>35</w:t>
      </w:r>
      <w:r>
        <w:rPr>
          <w:rFonts w:ascii="华文楷体" w:eastAsia="华文楷体" w:hAnsi="华文楷体" w:hint="eastAsia"/>
        </w:rPr>
        <w:t>号文的要求，</w:t>
      </w:r>
      <w:r>
        <w:rPr>
          <w:rFonts w:ascii="华文楷体" w:eastAsia="华文楷体" w:hAnsi="华文楷体" w:hint="eastAsia"/>
        </w:rPr>
        <w:t>A+H</w:t>
      </w:r>
      <w:r>
        <w:rPr>
          <w:rFonts w:ascii="华文楷体" w:eastAsia="华文楷体" w:hAnsi="华文楷体" w:hint="eastAsia"/>
        </w:rPr>
        <w:t>股公司内地上市部分的财务报表审计业务已于</w:t>
      </w:r>
      <w:r>
        <w:rPr>
          <w:rFonts w:ascii="华文楷体" w:eastAsia="华文楷体" w:hAnsi="华文楷体" w:hint="eastAsia"/>
        </w:rPr>
        <w:t>2017</w:t>
      </w:r>
      <w:r>
        <w:rPr>
          <w:rFonts w:ascii="华文楷体" w:eastAsia="华文楷体" w:hAnsi="华文楷体" w:hint="eastAsia"/>
        </w:rPr>
        <w:t>年</w:t>
      </w:r>
      <w:r>
        <w:rPr>
          <w:rFonts w:ascii="华文楷体" w:eastAsia="华文楷体" w:hAnsi="华文楷体" w:hint="eastAsia"/>
        </w:rPr>
        <w:t>1</w:t>
      </w:r>
      <w:r>
        <w:rPr>
          <w:rFonts w:ascii="华文楷体" w:eastAsia="华文楷体" w:hAnsi="华文楷体" w:hint="eastAsia"/>
        </w:rPr>
        <w:t>月</w:t>
      </w:r>
      <w:r>
        <w:rPr>
          <w:rFonts w:ascii="华文楷体" w:eastAsia="华文楷体" w:hAnsi="华文楷体" w:hint="eastAsia"/>
        </w:rPr>
        <w:t>1</w:t>
      </w:r>
      <w:r>
        <w:rPr>
          <w:rFonts w:ascii="华文楷体" w:eastAsia="华文楷体" w:hAnsi="华文楷体" w:hint="eastAsia"/>
        </w:rPr>
        <w:t>日起执行新审计报告相关准则。</w:t>
      </w:r>
      <w:r>
        <w:rPr>
          <w:rFonts w:ascii="华文楷体" w:eastAsia="华文楷体" w:hAnsi="华文楷体" w:hint="eastAsia"/>
        </w:rPr>
        <w:t>A</w:t>
      </w:r>
      <w:r>
        <w:rPr>
          <w:rFonts w:ascii="华文楷体" w:eastAsia="华文楷体" w:hAnsi="华文楷体" w:hint="eastAsia"/>
        </w:rPr>
        <w:t>股上市公司、</w:t>
      </w:r>
      <w:r>
        <w:rPr>
          <w:rFonts w:ascii="华文楷体" w:eastAsia="华文楷体" w:hAnsi="华文楷体" w:hint="eastAsia"/>
        </w:rPr>
        <w:t>IPO</w:t>
      </w:r>
      <w:r>
        <w:rPr>
          <w:rFonts w:ascii="华文楷体" w:eastAsia="华文楷体" w:hAnsi="华文楷体" w:hint="eastAsia"/>
        </w:rPr>
        <w:t>公司、新三板公司中的创新层挂牌公司、面向公众投资者公开发行债券的公司财务报表审计业务应于</w:t>
      </w:r>
      <w:r>
        <w:rPr>
          <w:rFonts w:ascii="华文楷体" w:eastAsia="华文楷体" w:hAnsi="华文楷体" w:hint="eastAsia"/>
        </w:rPr>
        <w:t>2018</w:t>
      </w:r>
      <w:r>
        <w:rPr>
          <w:rFonts w:ascii="华文楷体" w:eastAsia="华文楷体" w:hAnsi="华文楷体" w:hint="eastAsia"/>
        </w:rPr>
        <w:t>年</w:t>
      </w:r>
      <w:r>
        <w:rPr>
          <w:rFonts w:ascii="华文楷体" w:eastAsia="华文楷体" w:hAnsi="华文楷体" w:hint="eastAsia"/>
        </w:rPr>
        <w:t>1</w:t>
      </w:r>
      <w:r>
        <w:rPr>
          <w:rFonts w:ascii="华文楷体" w:eastAsia="华文楷体" w:hAnsi="华文楷体" w:hint="eastAsia"/>
        </w:rPr>
        <w:t>月</w:t>
      </w:r>
      <w:r>
        <w:rPr>
          <w:rFonts w:ascii="华文楷体" w:eastAsia="华文楷体" w:hAnsi="华文楷体" w:hint="eastAsia"/>
        </w:rPr>
        <w:t>1</w:t>
      </w:r>
      <w:r>
        <w:rPr>
          <w:rFonts w:ascii="华文楷体" w:eastAsia="华文楷体" w:hAnsi="华文楷体" w:hint="eastAsia"/>
        </w:rPr>
        <w:t>日起执行新审计报告相关准则。本</w:t>
      </w:r>
      <w:r>
        <w:rPr>
          <w:rFonts w:ascii="华文楷体" w:eastAsia="华文楷体" w:hAnsi="华文楷体" w:hint="eastAsia"/>
        </w:rPr>
        <w:t>次发布的公告对资本市场有关主体全面实施新审计报告相关准则的具体要求予以明确，同时，要求具有证券期货相关业务资格的会计师事务所加强内部质量管理，严格执行新审计报告相关准则的要求，提高审计报告信息的有用性和针对性。</w:t>
      </w:r>
    </w:p>
    <w:p w14:paraId="083BCDC0" w14:textId="77777777" w:rsidR="00ED5EBF" w:rsidRDefault="00ED5EBF">
      <w:pPr>
        <w:spacing w:line="360" w:lineRule="auto"/>
        <w:ind w:firstLineChars="200" w:firstLine="480"/>
        <w:rPr>
          <w:rFonts w:ascii="华文楷体" w:eastAsia="华文楷体" w:hAnsi="华文楷体"/>
        </w:rPr>
      </w:pPr>
    </w:p>
    <w:p w14:paraId="7950F60B"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【辖区情况】</w:t>
      </w:r>
    </w:p>
    <w:p w14:paraId="31FC0626" w14:textId="77777777" w:rsidR="00ED5EBF" w:rsidRDefault="00ED5EBF">
      <w:pPr>
        <w:spacing w:line="360" w:lineRule="auto"/>
        <w:ind w:firstLineChars="200" w:firstLine="480"/>
        <w:rPr>
          <w:rFonts w:ascii="华文楷体" w:eastAsia="华文楷体" w:hAnsi="华文楷体"/>
        </w:rPr>
      </w:pPr>
    </w:p>
    <w:p w14:paraId="2C84A6EA"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（一）市场规模</w:t>
      </w:r>
    </w:p>
    <w:p w14:paraId="780420F1" w14:textId="77777777" w:rsidR="00ED5EBF" w:rsidRDefault="00ED5EBF">
      <w:pPr>
        <w:spacing w:line="360" w:lineRule="auto"/>
        <w:ind w:firstLineChars="200" w:firstLine="480"/>
        <w:rPr>
          <w:rFonts w:ascii="华文楷体" w:eastAsia="华文楷体" w:hAnsi="华文楷体"/>
        </w:rPr>
      </w:pPr>
    </w:p>
    <w:p w14:paraId="5170B7C2"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截至</w:t>
      </w:r>
      <w:r>
        <w:rPr>
          <w:rFonts w:ascii="华文楷体" w:eastAsia="华文楷体" w:hAnsi="华文楷体" w:hint="eastAsia"/>
        </w:rPr>
        <w:t>2017</w:t>
      </w:r>
      <w:r>
        <w:rPr>
          <w:rFonts w:ascii="华文楷体" w:eastAsia="华文楷体" w:hAnsi="华文楷体" w:hint="eastAsia"/>
        </w:rPr>
        <w:t>年</w:t>
      </w:r>
      <w:r>
        <w:rPr>
          <w:rFonts w:ascii="华文楷体" w:eastAsia="华文楷体" w:hAnsi="华文楷体" w:hint="eastAsia"/>
        </w:rPr>
        <w:t>12</w:t>
      </w:r>
      <w:r>
        <w:rPr>
          <w:rFonts w:ascii="华文楷体" w:eastAsia="华文楷体" w:hAnsi="华文楷体" w:hint="eastAsia"/>
        </w:rPr>
        <w:t>月</w:t>
      </w:r>
      <w:r>
        <w:rPr>
          <w:rFonts w:ascii="华文楷体" w:eastAsia="华文楷体" w:hAnsi="华文楷体" w:hint="eastAsia"/>
        </w:rPr>
        <w:t>31</w:t>
      </w:r>
      <w:r>
        <w:rPr>
          <w:rFonts w:ascii="华文楷体" w:eastAsia="华文楷体" w:hAnsi="华文楷体" w:hint="eastAsia"/>
        </w:rPr>
        <w:t>日，北京辖区共有上市公司</w:t>
      </w:r>
      <w:r>
        <w:rPr>
          <w:rFonts w:ascii="华文楷体" w:eastAsia="华文楷体" w:hAnsi="华文楷体" w:hint="eastAsia"/>
        </w:rPr>
        <w:t>306</w:t>
      </w:r>
      <w:r>
        <w:rPr>
          <w:rFonts w:ascii="华文楷体" w:eastAsia="华文楷体" w:hAnsi="华文楷体" w:hint="eastAsia"/>
        </w:rPr>
        <w:t>家，占全国</w:t>
      </w:r>
      <w:r>
        <w:rPr>
          <w:rFonts w:ascii="华文楷体" w:eastAsia="华文楷体" w:hAnsi="华文楷体" w:hint="eastAsia"/>
        </w:rPr>
        <w:t>A</w:t>
      </w:r>
      <w:r>
        <w:rPr>
          <w:rFonts w:ascii="华文楷体" w:eastAsia="华文楷体" w:hAnsi="华文楷体" w:hint="eastAsia"/>
        </w:rPr>
        <w:t>股上市公司</w:t>
      </w:r>
      <w:r>
        <w:rPr>
          <w:rFonts w:ascii="华文楷体" w:eastAsia="华文楷体" w:hAnsi="华文楷体" w:hint="eastAsia"/>
        </w:rPr>
        <w:t>3,467</w:t>
      </w:r>
      <w:r>
        <w:rPr>
          <w:rFonts w:ascii="华文楷体" w:eastAsia="华文楷体" w:hAnsi="华文楷体" w:hint="eastAsia"/>
        </w:rPr>
        <w:t>家的</w:t>
      </w:r>
      <w:r>
        <w:rPr>
          <w:rFonts w:ascii="华文楷体" w:eastAsia="华文楷体" w:hAnsi="华文楷体" w:hint="eastAsia"/>
        </w:rPr>
        <w:t>8.83%</w:t>
      </w:r>
      <w:r>
        <w:rPr>
          <w:rFonts w:ascii="华文楷体" w:eastAsia="华文楷体" w:hAnsi="华文楷体" w:hint="eastAsia"/>
        </w:rPr>
        <w:t>；辖区上市公司总股本</w:t>
      </w:r>
      <w:r>
        <w:rPr>
          <w:rFonts w:ascii="华文楷体" w:eastAsia="华文楷体" w:hAnsi="华文楷体" w:hint="eastAsia"/>
        </w:rPr>
        <w:t>24,004.53</w:t>
      </w:r>
      <w:r>
        <w:rPr>
          <w:rFonts w:ascii="华文楷体" w:eastAsia="华文楷体" w:hAnsi="华文楷体" w:hint="eastAsia"/>
        </w:rPr>
        <w:t>亿股，占</w:t>
      </w:r>
      <w:r>
        <w:rPr>
          <w:rFonts w:ascii="华文楷体" w:eastAsia="华文楷体" w:hAnsi="华文楷体" w:hint="eastAsia"/>
        </w:rPr>
        <w:t>A</w:t>
      </w:r>
      <w:r>
        <w:rPr>
          <w:rFonts w:ascii="华文楷体" w:eastAsia="华文楷体" w:hAnsi="华文楷体" w:hint="eastAsia"/>
        </w:rPr>
        <w:t>股上市公司总股本的</w:t>
      </w:r>
      <w:r>
        <w:rPr>
          <w:rFonts w:ascii="华文楷体" w:eastAsia="华文楷体" w:hAnsi="华文楷体" w:hint="eastAsia"/>
        </w:rPr>
        <w:t>39.35%</w:t>
      </w:r>
      <w:r>
        <w:rPr>
          <w:rFonts w:ascii="华文楷体" w:eastAsia="华文楷体" w:hAnsi="华文楷体" w:hint="eastAsia"/>
        </w:rPr>
        <w:t>；总市值</w:t>
      </w:r>
      <w:r>
        <w:rPr>
          <w:rFonts w:ascii="华文楷体" w:eastAsia="华文楷体" w:hAnsi="华文楷体" w:hint="eastAsia"/>
        </w:rPr>
        <w:t>137,764.24</w:t>
      </w:r>
      <w:r>
        <w:rPr>
          <w:rFonts w:ascii="华文楷体" w:eastAsia="华文楷体" w:hAnsi="华文楷体" w:hint="eastAsia"/>
        </w:rPr>
        <w:t>亿元，占</w:t>
      </w:r>
      <w:r>
        <w:rPr>
          <w:rFonts w:ascii="华文楷体" w:eastAsia="华文楷体" w:hAnsi="华文楷体" w:hint="eastAsia"/>
        </w:rPr>
        <w:t>A</w:t>
      </w:r>
      <w:r>
        <w:rPr>
          <w:rFonts w:ascii="华文楷体" w:eastAsia="华文楷体" w:hAnsi="华文楷体" w:hint="eastAsia"/>
        </w:rPr>
        <w:t>股上市公司总市值的</w:t>
      </w:r>
      <w:r>
        <w:rPr>
          <w:rFonts w:ascii="华文楷体" w:eastAsia="华文楷体" w:hAnsi="华文楷体" w:hint="eastAsia"/>
        </w:rPr>
        <w:t>24.28%</w:t>
      </w:r>
      <w:r>
        <w:rPr>
          <w:rFonts w:ascii="华文楷体" w:eastAsia="华文楷体" w:hAnsi="华文楷体" w:hint="eastAsia"/>
        </w:rPr>
        <w:t>。</w:t>
      </w:r>
    </w:p>
    <w:p w14:paraId="6C467134" w14:textId="77777777" w:rsidR="00ED5EBF" w:rsidRDefault="00ED5EBF">
      <w:pPr>
        <w:spacing w:line="360" w:lineRule="auto"/>
        <w:ind w:firstLineChars="200" w:firstLine="480"/>
        <w:rPr>
          <w:rFonts w:ascii="华文楷体" w:eastAsia="华文楷体" w:hAnsi="华文楷体"/>
        </w:rPr>
      </w:pPr>
    </w:p>
    <w:p w14:paraId="6571CF06"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辖区</w:t>
      </w:r>
      <w:r>
        <w:rPr>
          <w:rFonts w:ascii="华文楷体" w:eastAsia="华文楷体" w:hAnsi="华文楷体" w:hint="eastAsia"/>
        </w:rPr>
        <w:t>306</w:t>
      </w:r>
      <w:r>
        <w:rPr>
          <w:rFonts w:ascii="华文楷体" w:eastAsia="华文楷体" w:hAnsi="华文楷体" w:hint="eastAsia"/>
        </w:rPr>
        <w:t>家</w:t>
      </w:r>
      <w:r>
        <w:rPr>
          <w:rFonts w:ascii="华文楷体" w:eastAsia="华文楷体" w:hAnsi="华文楷体" w:hint="eastAsia"/>
        </w:rPr>
        <w:t>上市公司中，</w:t>
      </w:r>
      <w:r>
        <w:rPr>
          <w:rFonts w:ascii="华文楷体" w:eastAsia="华文楷体" w:hAnsi="华文楷体" w:hint="eastAsia"/>
        </w:rPr>
        <w:t>160</w:t>
      </w:r>
      <w:r>
        <w:rPr>
          <w:rFonts w:ascii="华文楷体" w:eastAsia="华文楷体" w:hAnsi="华文楷体" w:hint="eastAsia"/>
        </w:rPr>
        <w:t>家主板公司总股本</w:t>
      </w:r>
      <w:r>
        <w:rPr>
          <w:rFonts w:ascii="华文楷体" w:eastAsia="华文楷体" w:hAnsi="华文楷体" w:hint="eastAsia"/>
        </w:rPr>
        <w:t>22,907.40</w:t>
      </w:r>
      <w:r>
        <w:rPr>
          <w:rFonts w:ascii="华文楷体" w:eastAsia="华文楷体" w:hAnsi="华文楷体" w:hint="eastAsia"/>
        </w:rPr>
        <w:t>亿股、总市值</w:t>
      </w:r>
      <w:r>
        <w:rPr>
          <w:rFonts w:ascii="华文楷体" w:eastAsia="华文楷体" w:hAnsi="华文楷体" w:hint="eastAsia"/>
        </w:rPr>
        <w:t>121,963.78</w:t>
      </w:r>
      <w:r>
        <w:rPr>
          <w:rFonts w:ascii="华文楷体" w:eastAsia="华文楷体" w:hAnsi="华文楷体" w:hint="eastAsia"/>
        </w:rPr>
        <w:t>亿元，分别占全国主板公司的</w:t>
      </w:r>
      <w:r>
        <w:rPr>
          <w:rFonts w:ascii="华文楷体" w:eastAsia="华文楷体" w:hAnsi="华文楷体" w:hint="eastAsia"/>
        </w:rPr>
        <w:t>45.95%</w:t>
      </w:r>
      <w:r>
        <w:rPr>
          <w:rFonts w:ascii="华文楷体" w:eastAsia="华文楷体" w:hAnsi="华文楷体" w:hint="eastAsia"/>
        </w:rPr>
        <w:t>和</w:t>
      </w:r>
      <w:r>
        <w:rPr>
          <w:rFonts w:ascii="华文楷体" w:eastAsia="华文楷体" w:hAnsi="华文楷体" w:hint="eastAsia"/>
        </w:rPr>
        <w:t>29.69%</w:t>
      </w:r>
      <w:r>
        <w:rPr>
          <w:rFonts w:ascii="华文楷体" w:eastAsia="华文楷体" w:hAnsi="华文楷体" w:hint="eastAsia"/>
        </w:rPr>
        <w:t>；</w:t>
      </w:r>
      <w:r>
        <w:rPr>
          <w:rFonts w:ascii="华文楷体" w:eastAsia="华文楷体" w:hAnsi="华文楷体" w:hint="eastAsia"/>
        </w:rPr>
        <w:t>50</w:t>
      </w:r>
      <w:r>
        <w:rPr>
          <w:rFonts w:ascii="华文楷体" w:eastAsia="华文楷体" w:hAnsi="华文楷体" w:hint="eastAsia"/>
        </w:rPr>
        <w:t>家中小板公司总股本</w:t>
      </w:r>
      <w:r>
        <w:rPr>
          <w:rFonts w:ascii="华文楷体" w:eastAsia="华文楷体" w:hAnsi="华文楷体" w:hint="eastAsia"/>
        </w:rPr>
        <w:t>441.73</w:t>
      </w:r>
      <w:r>
        <w:rPr>
          <w:rFonts w:ascii="华文楷体" w:eastAsia="华文楷体" w:hAnsi="华文楷体" w:hint="eastAsia"/>
        </w:rPr>
        <w:t>亿股、总市值</w:t>
      </w:r>
      <w:r>
        <w:rPr>
          <w:rFonts w:ascii="华文楷体" w:eastAsia="华文楷体" w:hAnsi="华文楷体" w:hint="eastAsia"/>
        </w:rPr>
        <w:t>6,644.13</w:t>
      </w:r>
      <w:r>
        <w:rPr>
          <w:rFonts w:ascii="华文楷体" w:eastAsia="华文楷体" w:hAnsi="华文楷体" w:hint="eastAsia"/>
        </w:rPr>
        <w:t>亿元，分别占全国中小板公司的</w:t>
      </w:r>
      <w:r>
        <w:rPr>
          <w:rFonts w:ascii="华文楷体" w:eastAsia="华文楷体" w:hAnsi="华文楷体" w:hint="eastAsia"/>
        </w:rPr>
        <w:t>5.83%</w:t>
      </w:r>
      <w:r>
        <w:rPr>
          <w:rFonts w:ascii="华文楷体" w:eastAsia="华文楷体" w:hAnsi="华文楷体" w:hint="eastAsia"/>
        </w:rPr>
        <w:t>和</w:t>
      </w:r>
      <w:r>
        <w:rPr>
          <w:rFonts w:ascii="华文楷体" w:eastAsia="华文楷体" w:hAnsi="华文楷体" w:hint="eastAsia"/>
        </w:rPr>
        <w:t>6.40%</w:t>
      </w:r>
      <w:r>
        <w:rPr>
          <w:rFonts w:ascii="华文楷体" w:eastAsia="华文楷体" w:hAnsi="华文楷体" w:hint="eastAsia"/>
        </w:rPr>
        <w:t>；</w:t>
      </w:r>
      <w:r>
        <w:rPr>
          <w:rFonts w:ascii="华文楷体" w:eastAsia="华文楷体" w:hAnsi="华文楷体" w:hint="eastAsia"/>
        </w:rPr>
        <w:t>96</w:t>
      </w:r>
      <w:r>
        <w:rPr>
          <w:rFonts w:ascii="华文楷体" w:eastAsia="华文楷体" w:hAnsi="华文楷体" w:hint="eastAsia"/>
        </w:rPr>
        <w:t>家创业板公司总股本</w:t>
      </w:r>
      <w:r>
        <w:rPr>
          <w:rFonts w:ascii="华文楷体" w:eastAsia="华文楷体" w:hAnsi="华文楷体" w:hint="eastAsia"/>
        </w:rPr>
        <w:t>655.40</w:t>
      </w:r>
      <w:r>
        <w:rPr>
          <w:rFonts w:ascii="华文楷体" w:eastAsia="华文楷体" w:hAnsi="华文楷体" w:hint="eastAsia"/>
        </w:rPr>
        <w:t>亿股、总市值</w:t>
      </w:r>
      <w:r>
        <w:rPr>
          <w:rFonts w:ascii="华文楷体" w:eastAsia="华文楷体" w:hAnsi="华文楷体" w:hint="eastAsia"/>
        </w:rPr>
        <w:t>9,156.33</w:t>
      </w:r>
      <w:r>
        <w:rPr>
          <w:rFonts w:ascii="华文楷体" w:eastAsia="华文楷体" w:hAnsi="华文楷体" w:hint="eastAsia"/>
        </w:rPr>
        <w:t>亿元，分别占全国创业板公司的</w:t>
      </w:r>
      <w:r>
        <w:rPr>
          <w:rFonts w:ascii="华文楷体" w:eastAsia="华文楷体" w:hAnsi="华文楷体" w:hint="eastAsia"/>
        </w:rPr>
        <w:t>20.08%</w:t>
      </w:r>
      <w:r>
        <w:rPr>
          <w:rFonts w:ascii="华文楷体" w:eastAsia="华文楷体" w:hAnsi="华文楷体" w:hint="eastAsia"/>
        </w:rPr>
        <w:t>和</w:t>
      </w:r>
      <w:r>
        <w:rPr>
          <w:rFonts w:ascii="华文楷体" w:eastAsia="华文楷体" w:hAnsi="华文楷体" w:hint="eastAsia"/>
        </w:rPr>
        <w:t>17.83%</w:t>
      </w:r>
      <w:r>
        <w:rPr>
          <w:rFonts w:ascii="华文楷体" w:eastAsia="华文楷体" w:hAnsi="华文楷体" w:hint="eastAsia"/>
        </w:rPr>
        <w:t>。</w:t>
      </w:r>
    </w:p>
    <w:p w14:paraId="5A201230" w14:textId="77777777" w:rsidR="00ED5EBF" w:rsidRDefault="00ED5EBF">
      <w:pPr>
        <w:spacing w:line="360" w:lineRule="auto"/>
        <w:ind w:firstLineChars="200" w:firstLine="480"/>
        <w:rPr>
          <w:rFonts w:ascii="华文楷体" w:eastAsia="华文楷体" w:hAnsi="华文楷体"/>
        </w:rPr>
      </w:pPr>
    </w:p>
    <w:p w14:paraId="1B66A2B1"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（二）融资情况</w:t>
      </w:r>
    </w:p>
    <w:p w14:paraId="4B7C1F51" w14:textId="77777777" w:rsidR="00ED5EBF" w:rsidRDefault="00ED5EBF">
      <w:pPr>
        <w:spacing w:line="360" w:lineRule="auto"/>
        <w:ind w:firstLineChars="200" w:firstLine="480"/>
        <w:rPr>
          <w:rFonts w:ascii="华文楷体" w:eastAsia="华文楷体" w:hAnsi="华文楷体"/>
        </w:rPr>
      </w:pPr>
    </w:p>
    <w:p w14:paraId="73CA370C"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本季度，北京辖区有</w:t>
      </w:r>
      <w:r>
        <w:rPr>
          <w:rFonts w:ascii="华文楷体" w:eastAsia="华文楷体" w:hAnsi="华文楷体" w:hint="eastAsia"/>
        </w:rPr>
        <w:t>3</w:t>
      </w:r>
      <w:r>
        <w:rPr>
          <w:rFonts w:ascii="华文楷体" w:eastAsia="华文楷体" w:hAnsi="华文楷体" w:hint="eastAsia"/>
        </w:rPr>
        <w:t>家公司首发上市、</w:t>
      </w:r>
      <w:r>
        <w:rPr>
          <w:rFonts w:ascii="华文楷体" w:eastAsia="华文楷体" w:hAnsi="华文楷体" w:hint="eastAsia"/>
        </w:rPr>
        <w:t>11</w:t>
      </w:r>
      <w:r>
        <w:rPr>
          <w:rFonts w:ascii="华文楷体" w:eastAsia="华文楷体" w:hAnsi="华文楷体" w:hint="eastAsia"/>
        </w:rPr>
        <w:t>家公司定向增发、</w:t>
      </w:r>
      <w:r>
        <w:rPr>
          <w:rFonts w:ascii="华文楷体" w:eastAsia="华文楷体" w:hAnsi="华文楷体" w:hint="eastAsia"/>
        </w:rPr>
        <w:t>7</w:t>
      </w:r>
      <w:r>
        <w:rPr>
          <w:rFonts w:ascii="华文楷体" w:eastAsia="华文楷体" w:hAnsi="华文楷体" w:hint="eastAsia"/>
        </w:rPr>
        <w:t>家上市公司发行公司债、</w:t>
      </w:r>
      <w:r>
        <w:rPr>
          <w:rFonts w:ascii="华文楷体" w:eastAsia="华文楷体" w:hAnsi="华文楷体" w:hint="eastAsia"/>
        </w:rPr>
        <w:t>3</w:t>
      </w:r>
      <w:r>
        <w:rPr>
          <w:rFonts w:ascii="华文楷体" w:eastAsia="华文楷体" w:hAnsi="华文楷体" w:hint="eastAsia"/>
        </w:rPr>
        <w:t>家公司发行可转债，募资额共计</w:t>
      </w:r>
      <w:r>
        <w:rPr>
          <w:rFonts w:ascii="华文楷体" w:eastAsia="华文楷体" w:hAnsi="华文楷体" w:hint="eastAsia"/>
        </w:rPr>
        <w:t>366.37</w:t>
      </w:r>
      <w:r>
        <w:rPr>
          <w:rFonts w:ascii="华文楷体" w:eastAsia="华文楷体" w:hAnsi="华文楷体" w:hint="eastAsia"/>
        </w:rPr>
        <w:t>亿元；新增</w:t>
      </w:r>
      <w:r>
        <w:rPr>
          <w:rFonts w:ascii="华文楷体" w:eastAsia="华文楷体" w:hAnsi="华文楷体" w:hint="eastAsia"/>
        </w:rPr>
        <w:t>4</w:t>
      </w:r>
      <w:r>
        <w:rPr>
          <w:rFonts w:ascii="华文楷体" w:eastAsia="华文楷体" w:hAnsi="华文楷体" w:hint="eastAsia"/>
        </w:rPr>
        <w:t>家公司披露重大资产重组预案；</w:t>
      </w:r>
      <w:r>
        <w:rPr>
          <w:rFonts w:ascii="华文楷体" w:eastAsia="华文楷体" w:hAnsi="华文楷体" w:hint="eastAsia"/>
        </w:rPr>
        <w:t>13</w:t>
      </w:r>
      <w:r>
        <w:rPr>
          <w:rFonts w:ascii="华文楷体" w:eastAsia="华文楷体" w:hAnsi="华文楷体" w:hint="eastAsia"/>
        </w:rPr>
        <w:t>家公司披露股权激励方案，</w:t>
      </w:r>
      <w:r>
        <w:rPr>
          <w:rFonts w:ascii="华文楷体" w:eastAsia="华文楷体" w:hAnsi="华文楷体" w:hint="eastAsia"/>
        </w:rPr>
        <w:t>3</w:t>
      </w:r>
      <w:r>
        <w:rPr>
          <w:rFonts w:ascii="华文楷体" w:eastAsia="华文楷体" w:hAnsi="华文楷体" w:hint="eastAsia"/>
        </w:rPr>
        <w:t>家公司披露员工持股计划方案。辖区上市公司</w:t>
      </w:r>
      <w:r>
        <w:rPr>
          <w:rFonts w:ascii="华文楷体" w:eastAsia="华文楷体" w:hAnsi="华文楷体" w:hint="eastAsia"/>
        </w:rPr>
        <w:t>2017</w:t>
      </w:r>
      <w:r>
        <w:rPr>
          <w:rFonts w:ascii="华文楷体" w:eastAsia="华文楷体" w:hAnsi="华文楷体" w:hint="eastAsia"/>
        </w:rPr>
        <w:t>年度累计筹资额</w:t>
      </w:r>
      <w:r>
        <w:rPr>
          <w:rFonts w:ascii="华文楷体" w:eastAsia="华文楷体" w:hAnsi="华文楷体" w:hint="eastAsia"/>
        </w:rPr>
        <w:t>2,156.79</w:t>
      </w:r>
      <w:r>
        <w:rPr>
          <w:rFonts w:ascii="华文楷体" w:eastAsia="华文楷体" w:hAnsi="华文楷体" w:hint="eastAsia"/>
        </w:rPr>
        <w:t>亿元。</w:t>
      </w:r>
    </w:p>
    <w:p w14:paraId="2FAEB249" w14:textId="77777777" w:rsidR="00ED5EBF" w:rsidRDefault="00ED5EBF">
      <w:pPr>
        <w:spacing w:line="360" w:lineRule="auto"/>
        <w:ind w:firstLineChars="200" w:firstLine="480"/>
        <w:rPr>
          <w:rFonts w:ascii="华文楷体" w:eastAsia="华文楷体" w:hAnsi="华文楷体"/>
        </w:rPr>
      </w:pPr>
    </w:p>
    <w:p w14:paraId="5BFA55C9"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1.2017</w:t>
      </w:r>
      <w:r>
        <w:rPr>
          <w:rFonts w:ascii="华文楷体" w:eastAsia="华文楷体" w:hAnsi="华文楷体" w:hint="eastAsia"/>
        </w:rPr>
        <w:t>年四季度上市公司融资情况表</w:t>
      </w:r>
    </w:p>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3"/>
        <w:gridCol w:w="1296"/>
        <w:gridCol w:w="1890"/>
        <w:gridCol w:w="1276"/>
        <w:gridCol w:w="1080"/>
        <w:gridCol w:w="1005"/>
      </w:tblGrid>
      <w:tr w:rsidR="00ED5EBF" w14:paraId="5CA9603B" w14:textId="77777777">
        <w:trPr>
          <w:trHeight w:val="644"/>
          <w:jc w:val="center"/>
        </w:trPr>
        <w:tc>
          <w:tcPr>
            <w:tcW w:w="1733" w:type="dxa"/>
            <w:shd w:val="clear" w:color="auto" w:fill="BFBFBF"/>
            <w:vAlign w:val="center"/>
          </w:tcPr>
          <w:p w14:paraId="2DB9F3DC"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公司简称</w:t>
            </w:r>
          </w:p>
        </w:tc>
        <w:tc>
          <w:tcPr>
            <w:tcW w:w="1296" w:type="dxa"/>
            <w:shd w:val="clear" w:color="auto" w:fill="BFBFBF"/>
            <w:vAlign w:val="center"/>
          </w:tcPr>
          <w:p w14:paraId="51CD11B8"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融资方式</w:t>
            </w:r>
          </w:p>
        </w:tc>
        <w:tc>
          <w:tcPr>
            <w:tcW w:w="1890" w:type="dxa"/>
            <w:shd w:val="clear" w:color="auto" w:fill="BFBFBF"/>
            <w:vAlign w:val="center"/>
          </w:tcPr>
          <w:p w14:paraId="432D8EAB"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融资时间</w:t>
            </w:r>
          </w:p>
          <w:p w14:paraId="45C71342" w14:textId="77777777" w:rsidR="00ED5EBF" w:rsidRDefault="002034C8">
            <w:pPr>
              <w:jc w:val="center"/>
              <w:rPr>
                <w:rFonts w:ascii="华文楷体" w:eastAsia="华文楷体" w:hAnsi="华文楷体" w:cs="宋体"/>
                <w:b/>
                <w:bCs/>
                <w:kern w:val="0"/>
              </w:rPr>
            </w:pPr>
            <w:r>
              <w:rPr>
                <w:rFonts w:ascii="华文楷体" w:eastAsia="华文楷体" w:hAnsi="华文楷体" w:cs="宋体" w:hint="eastAsia"/>
                <w:b/>
                <w:bCs/>
                <w:kern w:val="0"/>
              </w:rPr>
              <w:t>（上市日期）</w:t>
            </w:r>
          </w:p>
        </w:tc>
        <w:tc>
          <w:tcPr>
            <w:tcW w:w="1276" w:type="dxa"/>
            <w:shd w:val="clear" w:color="auto" w:fill="BFBFBF"/>
            <w:vAlign w:val="center"/>
          </w:tcPr>
          <w:p w14:paraId="013A9C5A"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募资总额（亿元）</w:t>
            </w:r>
          </w:p>
        </w:tc>
        <w:tc>
          <w:tcPr>
            <w:tcW w:w="1080" w:type="dxa"/>
            <w:shd w:val="clear" w:color="auto" w:fill="BFBFBF"/>
            <w:vAlign w:val="center"/>
          </w:tcPr>
          <w:p w14:paraId="408CE636"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期限（年）</w:t>
            </w:r>
          </w:p>
        </w:tc>
        <w:tc>
          <w:tcPr>
            <w:tcW w:w="1005" w:type="dxa"/>
            <w:shd w:val="clear" w:color="auto" w:fill="BFBFBF"/>
            <w:vAlign w:val="center"/>
          </w:tcPr>
          <w:p w14:paraId="78688453"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利率（</w:t>
            </w:r>
            <w:r>
              <w:rPr>
                <w:rFonts w:ascii="华文楷体" w:eastAsia="华文楷体" w:hAnsi="华文楷体" w:cs="宋体" w:hint="eastAsia"/>
                <w:b/>
                <w:bCs/>
                <w:kern w:val="0"/>
              </w:rPr>
              <w:t>%</w:t>
            </w:r>
            <w:r>
              <w:rPr>
                <w:rFonts w:ascii="华文楷体" w:eastAsia="华文楷体" w:hAnsi="华文楷体" w:cs="宋体" w:hint="eastAsia"/>
                <w:b/>
                <w:bCs/>
                <w:kern w:val="0"/>
              </w:rPr>
              <w:t>）</w:t>
            </w:r>
          </w:p>
        </w:tc>
      </w:tr>
      <w:tr w:rsidR="00ED5EBF" w14:paraId="59EF5719" w14:textId="77777777">
        <w:trPr>
          <w:trHeight w:val="300"/>
          <w:jc w:val="center"/>
        </w:trPr>
        <w:tc>
          <w:tcPr>
            <w:tcW w:w="1733" w:type="dxa"/>
            <w:vAlign w:val="center"/>
          </w:tcPr>
          <w:p w14:paraId="68DDAFD7"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color w:val="000000"/>
                <w:kern w:val="0"/>
              </w:rPr>
              <w:t>安达维尔</w:t>
            </w:r>
          </w:p>
        </w:tc>
        <w:tc>
          <w:tcPr>
            <w:tcW w:w="1296" w:type="dxa"/>
            <w:vAlign w:val="center"/>
          </w:tcPr>
          <w:p w14:paraId="1BAFC757"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hint="eastAsia"/>
                <w:color w:val="000000"/>
                <w:kern w:val="0"/>
              </w:rPr>
              <w:t>首发融资</w:t>
            </w:r>
          </w:p>
        </w:tc>
        <w:tc>
          <w:tcPr>
            <w:tcW w:w="1890" w:type="dxa"/>
            <w:vAlign w:val="center"/>
          </w:tcPr>
          <w:p w14:paraId="417F0E3A" w14:textId="77777777" w:rsidR="00ED5EBF" w:rsidRDefault="002034C8">
            <w:pPr>
              <w:widowControl/>
              <w:jc w:val="center"/>
              <w:rPr>
                <w:rFonts w:ascii="华文楷体" w:eastAsia="华文楷体" w:hAnsi="华文楷体" w:cs="宋体"/>
                <w:kern w:val="0"/>
              </w:rPr>
            </w:pPr>
            <w:r>
              <w:rPr>
                <w:rFonts w:ascii="华文楷体" w:eastAsia="华文楷体" w:hAnsi="华文楷体" w:cs="宋体"/>
                <w:kern w:val="0"/>
              </w:rPr>
              <w:t>2017</w:t>
            </w:r>
            <w:r>
              <w:rPr>
                <w:rFonts w:ascii="华文楷体" w:eastAsia="华文楷体" w:hAnsi="华文楷体" w:cs="宋体"/>
                <w:kern w:val="0"/>
              </w:rPr>
              <w:t>年</w:t>
            </w:r>
            <w:r>
              <w:rPr>
                <w:rFonts w:ascii="华文楷体" w:eastAsia="华文楷体" w:hAnsi="华文楷体" w:cs="宋体"/>
                <w:kern w:val="0"/>
              </w:rPr>
              <w:t>11</w:t>
            </w:r>
            <w:r>
              <w:rPr>
                <w:rFonts w:ascii="华文楷体" w:eastAsia="华文楷体" w:hAnsi="华文楷体" w:cs="宋体"/>
                <w:kern w:val="0"/>
              </w:rPr>
              <w:t>月</w:t>
            </w:r>
            <w:r>
              <w:rPr>
                <w:rFonts w:ascii="华文楷体" w:eastAsia="华文楷体" w:hAnsi="华文楷体" w:cs="宋体"/>
                <w:kern w:val="0"/>
              </w:rPr>
              <w:t>9</w:t>
            </w:r>
            <w:r>
              <w:rPr>
                <w:rFonts w:ascii="华文楷体" w:eastAsia="华文楷体" w:hAnsi="华文楷体" w:cs="宋体"/>
                <w:kern w:val="0"/>
              </w:rPr>
              <w:t>日</w:t>
            </w:r>
          </w:p>
        </w:tc>
        <w:tc>
          <w:tcPr>
            <w:tcW w:w="1276" w:type="dxa"/>
            <w:vAlign w:val="center"/>
          </w:tcPr>
          <w:p w14:paraId="425194B2"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hint="eastAsia"/>
                <w:color w:val="000000"/>
                <w:kern w:val="0"/>
              </w:rPr>
              <w:t>5.12</w:t>
            </w:r>
          </w:p>
        </w:tc>
        <w:tc>
          <w:tcPr>
            <w:tcW w:w="1080" w:type="dxa"/>
            <w:vAlign w:val="center"/>
          </w:tcPr>
          <w:p w14:paraId="4EC25165" w14:textId="77777777" w:rsidR="00ED5EBF" w:rsidRDefault="00ED5EBF">
            <w:pPr>
              <w:widowControl/>
              <w:jc w:val="center"/>
              <w:rPr>
                <w:rFonts w:ascii="华文楷体" w:eastAsia="华文楷体" w:hAnsi="华文楷体" w:cs="宋体"/>
                <w:color w:val="000000"/>
                <w:kern w:val="0"/>
              </w:rPr>
            </w:pPr>
          </w:p>
        </w:tc>
        <w:tc>
          <w:tcPr>
            <w:tcW w:w="1005" w:type="dxa"/>
            <w:vAlign w:val="center"/>
          </w:tcPr>
          <w:p w14:paraId="0FB97CA4" w14:textId="77777777" w:rsidR="00ED5EBF" w:rsidRDefault="00ED5EBF">
            <w:pPr>
              <w:widowControl/>
              <w:jc w:val="center"/>
              <w:rPr>
                <w:rFonts w:ascii="华文楷体" w:eastAsia="华文楷体" w:hAnsi="华文楷体" w:cs="宋体"/>
                <w:color w:val="000000"/>
                <w:kern w:val="0"/>
              </w:rPr>
            </w:pPr>
          </w:p>
        </w:tc>
      </w:tr>
      <w:tr w:rsidR="00ED5EBF" w14:paraId="2F81C967" w14:textId="77777777">
        <w:trPr>
          <w:trHeight w:val="300"/>
          <w:jc w:val="center"/>
        </w:trPr>
        <w:tc>
          <w:tcPr>
            <w:tcW w:w="1733" w:type="dxa"/>
            <w:vAlign w:val="center"/>
          </w:tcPr>
          <w:p w14:paraId="4DED4AC6"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hint="eastAsia"/>
                <w:color w:val="000000"/>
                <w:kern w:val="0"/>
              </w:rPr>
              <w:t>中农立华</w:t>
            </w:r>
          </w:p>
        </w:tc>
        <w:tc>
          <w:tcPr>
            <w:tcW w:w="1296" w:type="dxa"/>
            <w:vAlign w:val="center"/>
          </w:tcPr>
          <w:p w14:paraId="235A6EF7"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hint="eastAsia"/>
                <w:color w:val="000000"/>
                <w:kern w:val="0"/>
              </w:rPr>
              <w:t>首发融资</w:t>
            </w:r>
          </w:p>
        </w:tc>
        <w:tc>
          <w:tcPr>
            <w:tcW w:w="1890" w:type="dxa"/>
            <w:vAlign w:val="center"/>
          </w:tcPr>
          <w:p w14:paraId="5F5FB5D2"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color w:val="000000"/>
                <w:kern w:val="0"/>
              </w:rPr>
              <w:t>2017</w:t>
            </w:r>
            <w:r>
              <w:rPr>
                <w:rFonts w:ascii="华文楷体" w:eastAsia="华文楷体" w:hAnsi="华文楷体" w:cs="宋体"/>
                <w:color w:val="000000"/>
                <w:kern w:val="0"/>
              </w:rPr>
              <w:t>年</w:t>
            </w:r>
            <w:r>
              <w:rPr>
                <w:rFonts w:ascii="华文楷体" w:eastAsia="华文楷体" w:hAnsi="华文楷体" w:cs="宋体"/>
                <w:color w:val="000000"/>
                <w:kern w:val="0"/>
              </w:rPr>
              <w:t>11</w:t>
            </w:r>
            <w:r>
              <w:rPr>
                <w:rFonts w:ascii="华文楷体" w:eastAsia="华文楷体" w:hAnsi="华文楷体" w:cs="宋体"/>
                <w:color w:val="000000"/>
                <w:kern w:val="0"/>
              </w:rPr>
              <w:t>月</w:t>
            </w:r>
            <w:r>
              <w:rPr>
                <w:rFonts w:ascii="华文楷体" w:eastAsia="华文楷体" w:hAnsi="华文楷体" w:cs="宋体"/>
                <w:color w:val="000000"/>
                <w:kern w:val="0"/>
              </w:rPr>
              <w:t>16</w:t>
            </w:r>
            <w:r>
              <w:rPr>
                <w:rFonts w:ascii="华文楷体" w:eastAsia="华文楷体" w:hAnsi="华文楷体" w:cs="宋体"/>
                <w:color w:val="000000"/>
                <w:kern w:val="0"/>
              </w:rPr>
              <w:t>日</w:t>
            </w:r>
          </w:p>
        </w:tc>
        <w:tc>
          <w:tcPr>
            <w:tcW w:w="1276" w:type="dxa"/>
            <w:vAlign w:val="center"/>
          </w:tcPr>
          <w:p w14:paraId="75CF2D0D"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hint="eastAsia"/>
                <w:color w:val="000000"/>
                <w:kern w:val="0"/>
              </w:rPr>
              <w:t>4.16</w:t>
            </w:r>
          </w:p>
        </w:tc>
        <w:tc>
          <w:tcPr>
            <w:tcW w:w="1080" w:type="dxa"/>
            <w:vAlign w:val="center"/>
          </w:tcPr>
          <w:p w14:paraId="28003DEA" w14:textId="77777777" w:rsidR="00ED5EBF" w:rsidRDefault="00ED5EBF">
            <w:pPr>
              <w:widowControl/>
              <w:jc w:val="center"/>
              <w:rPr>
                <w:rFonts w:ascii="华文楷体" w:eastAsia="华文楷体" w:hAnsi="华文楷体" w:cs="宋体"/>
                <w:color w:val="000000"/>
                <w:kern w:val="0"/>
              </w:rPr>
            </w:pPr>
          </w:p>
        </w:tc>
        <w:tc>
          <w:tcPr>
            <w:tcW w:w="1005" w:type="dxa"/>
            <w:vAlign w:val="center"/>
          </w:tcPr>
          <w:p w14:paraId="2C540CF4" w14:textId="77777777" w:rsidR="00ED5EBF" w:rsidRDefault="00ED5EBF">
            <w:pPr>
              <w:widowControl/>
              <w:jc w:val="center"/>
              <w:rPr>
                <w:rFonts w:ascii="华文楷体" w:eastAsia="华文楷体" w:hAnsi="华文楷体" w:cs="宋体"/>
                <w:color w:val="000000"/>
                <w:kern w:val="0"/>
              </w:rPr>
            </w:pPr>
          </w:p>
        </w:tc>
      </w:tr>
      <w:tr w:rsidR="00ED5EBF" w14:paraId="2F2B3ACC" w14:textId="77777777">
        <w:trPr>
          <w:trHeight w:val="300"/>
          <w:jc w:val="center"/>
        </w:trPr>
        <w:tc>
          <w:tcPr>
            <w:tcW w:w="1733" w:type="dxa"/>
            <w:vAlign w:val="center"/>
          </w:tcPr>
          <w:p w14:paraId="21184950"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color w:val="000000"/>
                <w:kern w:val="0"/>
              </w:rPr>
              <w:t>中石科技</w:t>
            </w:r>
          </w:p>
        </w:tc>
        <w:tc>
          <w:tcPr>
            <w:tcW w:w="1296" w:type="dxa"/>
            <w:vAlign w:val="center"/>
          </w:tcPr>
          <w:p w14:paraId="3BC1542F"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hint="eastAsia"/>
                <w:color w:val="000000"/>
                <w:kern w:val="0"/>
              </w:rPr>
              <w:t>首发融资</w:t>
            </w:r>
          </w:p>
        </w:tc>
        <w:tc>
          <w:tcPr>
            <w:tcW w:w="1890" w:type="dxa"/>
            <w:vAlign w:val="center"/>
          </w:tcPr>
          <w:p w14:paraId="02C76BEA" w14:textId="77777777" w:rsidR="00ED5EBF" w:rsidRDefault="002034C8">
            <w:pPr>
              <w:widowControl/>
              <w:jc w:val="center"/>
              <w:rPr>
                <w:rFonts w:ascii="华文楷体" w:eastAsia="华文楷体" w:hAnsi="华文楷体" w:cs="宋体"/>
                <w:kern w:val="0"/>
              </w:rPr>
            </w:pPr>
            <w:r>
              <w:rPr>
                <w:rFonts w:ascii="华文楷体" w:eastAsia="华文楷体" w:hAnsi="华文楷体" w:cs="宋体"/>
                <w:kern w:val="0"/>
              </w:rPr>
              <w:t>2017</w:t>
            </w:r>
            <w:r>
              <w:rPr>
                <w:rFonts w:ascii="华文楷体" w:eastAsia="华文楷体" w:hAnsi="华文楷体" w:cs="宋体"/>
                <w:kern w:val="0"/>
              </w:rPr>
              <w:t>年</w:t>
            </w:r>
            <w:r>
              <w:rPr>
                <w:rFonts w:ascii="华文楷体" w:eastAsia="华文楷体" w:hAnsi="华文楷体" w:cs="宋体"/>
                <w:kern w:val="0"/>
              </w:rPr>
              <w:t>12</w:t>
            </w:r>
            <w:r>
              <w:rPr>
                <w:rFonts w:ascii="华文楷体" w:eastAsia="华文楷体" w:hAnsi="华文楷体" w:cs="宋体"/>
                <w:kern w:val="0"/>
              </w:rPr>
              <w:t>月</w:t>
            </w:r>
            <w:r>
              <w:rPr>
                <w:rFonts w:ascii="华文楷体" w:eastAsia="华文楷体" w:hAnsi="华文楷体" w:cs="宋体"/>
                <w:kern w:val="0"/>
              </w:rPr>
              <w:t>27</w:t>
            </w:r>
            <w:r>
              <w:rPr>
                <w:rFonts w:ascii="华文楷体" w:eastAsia="华文楷体" w:hAnsi="华文楷体" w:cs="宋体"/>
                <w:kern w:val="0"/>
              </w:rPr>
              <w:t>日</w:t>
            </w:r>
          </w:p>
        </w:tc>
        <w:tc>
          <w:tcPr>
            <w:tcW w:w="1276" w:type="dxa"/>
            <w:vAlign w:val="center"/>
          </w:tcPr>
          <w:p w14:paraId="3783A582"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hint="eastAsia"/>
                <w:color w:val="000000"/>
                <w:kern w:val="0"/>
              </w:rPr>
              <w:t>1.74</w:t>
            </w:r>
          </w:p>
        </w:tc>
        <w:tc>
          <w:tcPr>
            <w:tcW w:w="1080" w:type="dxa"/>
            <w:vAlign w:val="center"/>
          </w:tcPr>
          <w:p w14:paraId="50713A3B" w14:textId="77777777" w:rsidR="00ED5EBF" w:rsidRDefault="00ED5EBF">
            <w:pPr>
              <w:widowControl/>
              <w:jc w:val="center"/>
              <w:rPr>
                <w:rFonts w:ascii="华文楷体" w:eastAsia="华文楷体" w:hAnsi="华文楷体" w:cs="宋体"/>
                <w:color w:val="000000"/>
                <w:kern w:val="0"/>
              </w:rPr>
            </w:pPr>
          </w:p>
        </w:tc>
        <w:tc>
          <w:tcPr>
            <w:tcW w:w="1005" w:type="dxa"/>
            <w:vAlign w:val="center"/>
          </w:tcPr>
          <w:p w14:paraId="22D3B749" w14:textId="77777777" w:rsidR="00ED5EBF" w:rsidRDefault="00ED5EBF">
            <w:pPr>
              <w:widowControl/>
              <w:jc w:val="center"/>
              <w:rPr>
                <w:rFonts w:ascii="华文楷体" w:eastAsia="华文楷体" w:hAnsi="华文楷体" w:cs="宋体"/>
                <w:color w:val="000000"/>
                <w:kern w:val="0"/>
              </w:rPr>
            </w:pPr>
          </w:p>
        </w:tc>
      </w:tr>
      <w:tr w:rsidR="00ED5EBF" w14:paraId="254203CC" w14:textId="77777777">
        <w:trPr>
          <w:trHeight w:val="300"/>
          <w:jc w:val="center"/>
        </w:trPr>
        <w:tc>
          <w:tcPr>
            <w:tcW w:w="1733" w:type="dxa"/>
          </w:tcPr>
          <w:p w14:paraId="287B5E55"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恒华科技</w:t>
            </w:r>
          </w:p>
        </w:tc>
        <w:tc>
          <w:tcPr>
            <w:tcW w:w="1296" w:type="dxa"/>
          </w:tcPr>
          <w:p w14:paraId="1FDE9B87" w14:textId="77777777" w:rsidR="00ED5EBF" w:rsidRDefault="002034C8">
            <w:pPr>
              <w:jc w:val="center"/>
              <w:rPr>
                <w:rFonts w:ascii="华文楷体" w:eastAsia="华文楷体" w:hAnsi="华文楷体" w:cs="Times New Roman"/>
              </w:rPr>
            </w:pPr>
            <w:r>
              <w:rPr>
                <w:rFonts w:ascii="华文楷体" w:eastAsia="华文楷体" w:hAnsi="华文楷体" w:cs="宋体" w:hint="eastAsia"/>
                <w:color w:val="000000"/>
                <w:kern w:val="0"/>
              </w:rPr>
              <w:t>定向增发</w:t>
            </w:r>
          </w:p>
        </w:tc>
        <w:tc>
          <w:tcPr>
            <w:tcW w:w="1890" w:type="dxa"/>
          </w:tcPr>
          <w:p w14:paraId="3A0149CF"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10</w:t>
            </w:r>
            <w:r>
              <w:rPr>
                <w:rFonts w:ascii="华文楷体" w:eastAsia="华文楷体" w:hAnsi="华文楷体" w:cs="Times New Roman" w:hint="eastAsia"/>
              </w:rPr>
              <w:t>月</w:t>
            </w:r>
            <w:r>
              <w:rPr>
                <w:rFonts w:ascii="华文楷体" w:eastAsia="华文楷体" w:hAnsi="华文楷体" w:cs="Times New Roman" w:hint="eastAsia"/>
              </w:rPr>
              <w:t>10</w:t>
            </w:r>
            <w:r>
              <w:rPr>
                <w:rFonts w:ascii="华文楷体" w:eastAsia="华文楷体" w:hAnsi="华文楷体" w:cs="Times New Roman" w:hint="eastAsia"/>
              </w:rPr>
              <w:t>日</w:t>
            </w:r>
          </w:p>
        </w:tc>
        <w:tc>
          <w:tcPr>
            <w:tcW w:w="1276" w:type="dxa"/>
          </w:tcPr>
          <w:p w14:paraId="5E7953C7"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7.50</w:t>
            </w:r>
          </w:p>
        </w:tc>
        <w:tc>
          <w:tcPr>
            <w:tcW w:w="1080" w:type="dxa"/>
            <w:vAlign w:val="center"/>
          </w:tcPr>
          <w:p w14:paraId="6F8FE15E" w14:textId="77777777" w:rsidR="00ED5EBF" w:rsidRDefault="00ED5EBF">
            <w:pPr>
              <w:widowControl/>
              <w:jc w:val="center"/>
              <w:rPr>
                <w:rFonts w:ascii="华文楷体" w:eastAsia="华文楷体" w:hAnsi="华文楷体" w:cs="宋体"/>
                <w:color w:val="000000"/>
                <w:kern w:val="0"/>
              </w:rPr>
            </w:pPr>
          </w:p>
        </w:tc>
        <w:tc>
          <w:tcPr>
            <w:tcW w:w="1005" w:type="dxa"/>
            <w:vAlign w:val="center"/>
          </w:tcPr>
          <w:p w14:paraId="7DC5B873" w14:textId="77777777" w:rsidR="00ED5EBF" w:rsidRDefault="00ED5EBF">
            <w:pPr>
              <w:widowControl/>
              <w:jc w:val="center"/>
              <w:rPr>
                <w:rFonts w:ascii="华文楷体" w:eastAsia="华文楷体" w:hAnsi="华文楷体" w:cs="宋体"/>
                <w:color w:val="000000"/>
                <w:kern w:val="0"/>
              </w:rPr>
            </w:pPr>
          </w:p>
        </w:tc>
      </w:tr>
      <w:tr w:rsidR="00ED5EBF" w14:paraId="3022CD80" w14:textId="77777777">
        <w:trPr>
          <w:trHeight w:val="300"/>
          <w:jc w:val="center"/>
        </w:trPr>
        <w:tc>
          <w:tcPr>
            <w:tcW w:w="1733" w:type="dxa"/>
          </w:tcPr>
          <w:p w14:paraId="709871DD"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合纵科技</w:t>
            </w:r>
          </w:p>
        </w:tc>
        <w:tc>
          <w:tcPr>
            <w:tcW w:w="1296" w:type="dxa"/>
          </w:tcPr>
          <w:p w14:paraId="23551370" w14:textId="77777777" w:rsidR="00ED5EBF" w:rsidRDefault="002034C8">
            <w:pPr>
              <w:jc w:val="center"/>
              <w:rPr>
                <w:rFonts w:ascii="华文楷体" w:eastAsia="华文楷体" w:hAnsi="华文楷体" w:cs="Times New Roman"/>
              </w:rPr>
            </w:pPr>
            <w:r>
              <w:rPr>
                <w:rFonts w:ascii="华文楷体" w:eastAsia="华文楷体" w:hAnsi="华文楷体" w:cs="宋体" w:hint="eastAsia"/>
                <w:color w:val="000000"/>
                <w:kern w:val="0"/>
              </w:rPr>
              <w:t>定向增发</w:t>
            </w:r>
          </w:p>
        </w:tc>
        <w:tc>
          <w:tcPr>
            <w:tcW w:w="1890" w:type="dxa"/>
          </w:tcPr>
          <w:p w14:paraId="11D775C0"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10</w:t>
            </w:r>
            <w:r>
              <w:rPr>
                <w:rFonts w:ascii="华文楷体" w:eastAsia="华文楷体" w:hAnsi="华文楷体" w:cs="Times New Roman" w:hint="eastAsia"/>
              </w:rPr>
              <w:t>月</w:t>
            </w:r>
            <w:r>
              <w:rPr>
                <w:rFonts w:ascii="华文楷体" w:eastAsia="华文楷体" w:hAnsi="华文楷体" w:cs="Times New Roman" w:hint="eastAsia"/>
              </w:rPr>
              <w:t>10</w:t>
            </w:r>
            <w:r>
              <w:rPr>
                <w:rFonts w:ascii="华文楷体" w:eastAsia="华文楷体" w:hAnsi="华文楷体" w:cs="Times New Roman" w:hint="eastAsia"/>
              </w:rPr>
              <w:t>日</w:t>
            </w:r>
          </w:p>
        </w:tc>
        <w:tc>
          <w:tcPr>
            <w:tcW w:w="1276" w:type="dxa"/>
          </w:tcPr>
          <w:p w14:paraId="11CCF3DC"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4.68</w:t>
            </w:r>
          </w:p>
        </w:tc>
        <w:tc>
          <w:tcPr>
            <w:tcW w:w="1080" w:type="dxa"/>
            <w:vAlign w:val="center"/>
          </w:tcPr>
          <w:p w14:paraId="7EB3FFBB" w14:textId="77777777" w:rsidR="00ED5EBF" w:rsidRDefault="00ED5EBF">
            <w:pPr>
              <w:widowControl/>
              <w:jc w:val="center"/>
              <w:rPr>
                <w:rFonts w:ascii="华文楷体" w:eastAsia="华文楷体" w:hAnsi="华文楷体" w:cs="宋体"/>
                <w:color w:val="000000"/>
                <w:kern w:val="0"/>
              </w:rPr>
            </w:pPr>
          </w:p>
        </w:tc>
        <w:tc>
          <w:tcPr>
            <w:tcW w:w="1005" w:type="dxa"/>
            <w:vAlign w:val="center"/>
          </w:tcPr>
          <w:p w14:paraId="5A66ADB5" w14:textId="77777777" w:rsidR="00ED5EBF" w:rsidRDefault="00ED5EBF">
            <w:pPr>
              <w:widowControl/>
              <w:jc w:val="center"/>
              <w:rPr>
                <w:rFonts w:ascii="华文楷体" w:eastAsia="华文楷体" w:hAnsi="华文楷体" w:cs="宋体"/>
                <w:color w:val="000000"/>
                <w:kern w:val="0"/>
              </w:rPr>
            </w:pPr>
          </w:p>
        </w:tc>
      </w:tr>
      <w:tr w:rsidR="00ED5EBF" w14:paraId="3F9E6D1B" w14:textId="77777777">
        <w:trPr>
          <w:trHeight w:val="300"/>
          <w:jc w:val="center"/>
        </w:trPr>
        <w:tc>
          <w:tcPr>
            <w:tcW w:w="1733" w:type="dxa"/>
          </w:tcPr>
          <w:p w14:paraId="42326BAF"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华宇软件</w:t>
            </w:r>
          </w:p>
        </w:tc>
        <w:tc>
          <w:tcPr>
            <w:tcW w:w="1296" w:type="dxa"/>
          </w:tcPr>
          <w:p w14:paraId="2359FDA8" w14:textId="77777777" w:rsidR="00ED5EBF" w:rsidRDefault="002034C8">
            <w:pPr>
              <w:jc w:val="center"/>
              <w:rPr>
                <w:rFonts w:ascii="华文楷体" w:eastAsia="华文楷体" w:hAnsi="华文楷体" w:cs="Times New Roman"/>
              </w:rPr>
            </w:pPr>
            <w:r>
              <w:rPr>
                <w:rFonts w:ascii="华文楷体" w:eastAsia="华文楷体" w:hAnsi="华文楷体" w:cs="宋体" w:hint="eastAsia"/>
                <w:color w:val="000000"/>
                <w:kern w:val="0"/>
              </w:rPr>
              <w:t>定向增发</w:t>
            </w:r>
          </w:p>
        </w:tc>
        <w:tc>
          <w:tcPr>
            <w:tcW w:w="1890" w:type="dxa"/>
          </w:tcPr>
          <w:p w14:paraId="4E64CAC8"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10</w:t>
            </w:r>
            <w:r>
              <w:rPr>
                <w:rFonts w:ascii="华文楷体" w:eastAsia="华文楷体" w:hAnsi="华文楷体" w:cs="Times New Roman" w:hint="eastAsia"/>
              </w:rPr>
              <w:t>月</w:t>
            </w:r>
            <w:r>
              <w:rPr>
                <w:rFonts w:ascii="华文楷体" w:eastAsia="华文楷体" w:hAnsi="华文楷体" w:cs="Times New Roman" w:hint="eastAsia"/>
              </w:rPr>
              <w:t>16</w:t>
            </w:r>
            <w:r>
              <w:rPr>
                <w:rFonts w:ascii="华文楷体" w:eastAsia="华文楷体" w:hAnsi="华文楷体" w:cs="Times New Roman" w:hint="eastAsia"/>
              </w:rPr>
              <w:t>日</w:t>
            </w:r>
          </w:p>
        </w:tc>
        <w:tc>
          <w:tcPr>
            <w:tcW w:w="1276" w:type="dxa"/>
          </w:tcPr>
          <w:p w14:paraId="0BC42FB4"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4.90</w:t>
            </w:r>
          </w:p>
        </w:tc>
        <w:tc>
          <w:tcPr>
            <w:tcW w:w="1080" w:type="dxa"/>
            <w:vAlign w:val="center"/>
          </w:tcPr>
          <w:p w14:paraId="0066C617" w14:textId="77777777" w:rsidR="00ED5EBF" w:rsidRDefault="00ED5EBF">
            <w:pPr>
              <w:widowControl/>
              <w:jc w:val="center"/>
              <w:rPr>
                <w:rFonts w:ascii="华文楷体" w:eastAsia="华文楷体" w:hAnsi="华文楷体" w:cs="宋体"/>
                <w:color w:val="000000"/>
                <w:kern w:val="0"/>
              </w:rPr>
            </w:pPr>
          </w:p>
        </w:tc>
        <w:tc>
          <w:tcPr>
            <w:tcW w:w="1005" w:type="dxa"/>
            <w:vAlign w:val="center"/>
          </w:tcPr>
          <w:p w14:paraId="01CA0E97" w14:textId="77777777" w:rsidR="00ED5EBF" w:rsidRDefault="00ED5EBF">
            <w:pPr>
              <w:widowControl/>
              <w:jc w:val="center"/>
              <w:rPr>
                <w:rFonts w:ascii="华文楷体" w:eastAsia="华文楷体" w:hAnsi="华文楷体" w:cs="宋体"/>
                <w:color w:val="000000"/>
                <w:kern w:val="0"/>
              </w:rPr>
            </w:pPr>
          </w:p>
        </w:tc>
      </w:tr>
      <w:tr w:rsidR="00ED5EBF" w14:paraId="47E80FCD" w14:textId="77777777">
        <w:trPr>
          <w:trHeight w:val="300"/>
          <w:jc w:val="center"/>
        </w:trPr>
        <w:tc>
          <w:tcPr>
            <w:tcW w:w="1733" w:type="dxa"/>
          </w:tcPr>
          <w:p w14:paraId="3BCC7A24"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中电广通</w:t>
            </w:r>
          </w:p>
        </w:tc>
        <w:tc>
          <w:tcPr>
            <w:tcW w:w="1296" w:type="dxa"/>
          </w:tcPr>
          <w:p w14:paraId="2E768CB9" w14:textId="77777777" w:rsidR="00ED5EBF" w:rsidRDefault="002034C8">
            <w:pPr>
              <w:jc w:val="center"/>
              <w:rPr>
                <w:rFonts w:ascii="华文楷体" w:eastAsia="华文楷体" w:hAnsi="华文楷体" w:cs="Times New Roman"/>
              </w:rPr>
            </w:pPr>
            <w:r>
              <w:rPr>
                <w:rFonts w:ascii="华文楷体" w:eastAsia="华文楷体" w:hAnsi="华文楷体" w:cs="宋体" w:hint="eastAsia"/>
                <w:color w:val="000000"/>
                <w:kern w:val="0"/>
              </w:rPr>
              <w:t>定向增发</w:t>
            </w:r>
          </w:p>
        </w:tc>
        <w:tc>
          <w:tcPr>
            <w:tcW w:w="1890" w:type="dxa"/>
          </w:tcPr>
          <w:p w14:paraId="1501604A"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10</w:t>
            </w:r>
            <w:r>
              <w:rPr>
                <w:rFonts w:ascii="华文楷体" w:eastAsia="华文楷体" w:hAnsi="华文楷体" w:cs="Times New Roman" w:hint="eastAsia"/>
              </w:rPr>
              <w:t>月</w:t>
            </w:r>
            <w:r>
              <w:rPr>
                <w:rFonts w:ascii="华文楷体" w:eastAsia="华文楷体" w:hAnsi="华文楷体" w:cs="Times New Roman" w:hint="eastAsia"/>
              </w:rPr>
              <w:t>17</w:t>
            </w:r>
            <w:r>
              <w:rPr>
                <w:rFonts w:ascii="华文楷体" w:eastAsia="华文楷体" w:hAnsi="华文楷体" w:cs="Times New Roman" w:hint="eastAsia"/>
              </w:rPr>
              <w:t>日</w:t>
            </w:r>
          </w:p>
        </w:tc>
        <w:tc>
          <w:tcPr>
            <w:tcW w:w="1276" w:type="dxa"/>
          </w:tcPr>
          <w:p w14:paraId="70D7AA81"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10.65</w:t>
            </w:r>
          </w:p>
        </w:tc>
        <w:tc>
          <w:tcPr>
            <w:tcW w:w="1080" w:type="dxa"/>
            <w:vAlign w:val="center"/>
          </w:tcPr>
          <w:p w14:paraId="1CB51CD6" w14:textId="77777777" w:rsidR="00ED5EBF" w:rsidRDefault="00ED5EBF">
            <w:pPr>
              <w:widowControl/>
              <w:jc w:val="center"/>
              <w:rPr>
                <w:rFonts w:ascii="华文楷体" w:eastAsia="华文楷体" w:hAnsi="华文楷体" w:cs="宋体"/>
                <w:color w:val="000000"/>
                <w:kern w:val="0"/>
              </w:rPr>
            </w:pPr>
          </w:p>
        </w:tc>
        <w:tc>
          <w:tcPr>
            <w:tcW w:w="1005" w:type="dxa"/>
            <w:vAlign w:val="center"/>
          </w:tcPr>
          <w:p w14:paraId="6B200EE3" w14:textId="77777777" w:rsidR="00ED5EBF" w:rsidRDefault="00ED5EBF">
            <w:pPr>
              <w:widowControl/>
              <w:jc w:val="center"/>
              <w:rPr>
                <w:rFonts w:ascii="华文楷体" w:eastAsia="华文楷体" w:hAnsi="华文楷体" w:cs="宋体"/>
                <w:color w:val="000000"/>
                <w:kern w:val="0"/>
              </w:rPr>
            </w:pPr>
          </w:p>
        </w:tc>
      </w:tr>
      <w:tr w:rsidR="00ED5EBF" w14:paraId="0E4A012C" w14:textId="77777777">
        <w:trPr>
          <w:trHeight w:val="300"/>
          <w:jc w:val="center"/>
        </w:trPr>
        <w:tc>
          <w:tcPr>
            <w:tcW w:w="1733" w:type="dxa"/>
          </w:tcPr>
          <w:p w14:paraId="2CB316B2"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世纪瑞尔</w:t>
            </w:r>
          </w:p>
        </w:tc>
        <w:tc>
          <w:tcPr>
            <w:tcW w:w="1296" w:type="dxa"/>
            <w:vAlign w:val="center"/>
          </w:tcPr>
          <w:p w14:paraId="6D7A81BA"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hint="eastAsia"/>
                <w:color w:val="000000"/>
                <w:kern w:val="0"/>
              </w:rPr>
              <w:t>定向增发</w:t>
            </w:r>
          </w:p>
        </w:tc>
        <w:tc>
          <w:tcPr>
            <w:tcW w:w="1890" w:type="dxa"/>
          </w:tcPr>
          <w:p w14:paraId="0FCFBF53"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10</w:t>
            </w:r>
            <w:r>
              <w:rPr>
                <w:rFonts w:ascii="华文楷体" w:eastAsia="华文楷体" w:hAnsi="华文楷体" w:cs="Times New Roman" w:hint="eastAsia"/>
              </w:rPr>
              <w:t>月</w:t>
            </w:r>
            <w:r>
              <w:rPr>
                <w:rFonts w:ascii="华文楷体" w:eastAsia="华文楷体" w:hAnsi="华文楷体" w:cs="Times New Roman" w:hint="eastAsia"/>
              </w:rPr>
              <w:t>23</w:t>
            </w:r>
            <w:r>
              <w:rPr>
                <w:rFonts w:ascii="华文楷体" w:eastAsia="华文楷体" w:hAnsi="华文楷体" w:cs="Times New Roman" w:hint="eastAsia"/>
              </w:rPr>
              <w:t>日</w:t>
            </w:r>
          </w:p>
        </w:tc>
        <w:tc>
          <w:tcPr>
            <w:tcW w:w="1276" w:type="dxa"/>
          </w:tcPr>
          <w:p w14:paraId="2FEB8548"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4.09</w:t>
            </w:r>
          </w:p>
        </w:tc>
        <w:tc>
          <w:tcPr>
            <w:tcW w:w="1080" w:type="dxa"/>
            <w:vAlign w:val="center"/>
          </w:tcPr>
          <w:p w14:paraId="7964E27C" w14:textId="77777777" w:rsidR="00ED5EBF" w:rsidRDefault="00ED5EBF">
            <w:pPr>
              <w:widowControl/>
              <w:jc w:val="center"/>
              <w:rPr>
                <w:rFonts w:ascii="华文楷体" w:eastAsia="华文楷体" w:hAnsi="华文楷体" w:cs="宋体"/>
                <w:color w:val="000000"/>
                <w:kern w:val="0"/>
              </w:rPr>
            </w:pPr>
          </w:p>
        </w:tc>
        <w:tc>
          <w:tcPr>
            <w:tcW w:w="1005" w:type="dxa"/>
            <w:vAlign w:val="center"/>
          </w:tcPr>
          <w:p w14:paraId="2E51AC41" w14:textId="77777777" w:rsidR="00ED5EBF" w:rsidRDefault="00ED5EBF">
            <w:pPr>
              <w:widowControl/>
              <w:jc w:val="center"/>
              <w:rPr>
                <w:rFonts w:ascii="华文楷体" w:eastAsia="华文楷体" w:hAnsi="华文楷体" w:cs="宋体"/>
                <w:color w:val="000000"/>
                <w:kern w:val="0"/>
              </w:rPr>
            </w:pPr>
          </w:p>
        </w:tc>
      </w:tr>
      <w:tr w:rsidR="00ED5EBF" w14:paraId="2513C0B0" w14:textId="77777777">
        <w:trPr>
          <w:trHeight w:val="300"/>
          <w:jc w:val="center"/>
        </w:trPr>
        <w:tc>
          <w:tcPr>
            <w:tcW w:w="1733" w:type="dxa"/>
          </w:tcPr>
          <w:p w14:paraId="481BBA5E"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金一文化</w:t>
            </w:r>
          </w:p>
        </w:tc>
        <w:tc>
          <w:tcPr>
            <w:tcW w:w="1296" w:type="dxa"/>
            <w:vAlign w:val="center"/>
          </w:tcPr>
          <w:p w14:paraId="6AC989A1"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hint="eastAsia"/>
                <w:color w:val="000000"/>
                <w:kern w:val="0"/>
              </w:rPr>
              <w:t>定向增发</w:t>
            </w:r>
          </w:p>
        </w:tc>
        <w:tc>
          <w:tcPr>
            <w:tcW w:w="1890" w:type="dxa"/>
          </w:tcPr>
          <w:p w14:paraId="50B1CB64"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10</w:t>
            </w:r>
            <w:r>
              <w:rPr>
                <w:rFonts w:ascii="华文楷体" w:eastAsia="华文楷体" w:hAnsi="华文楷体" w:cs="Times New Roman" w:hint="eastAsia"/>
              </w:rPr>
              <w:t>月</w:t>
            </w:r>
            <w:r>
              <w:rPr>
                <w:rFonts w:ascii="华文楷体" w:eastAsia="华文楷体" w:hAnsi="华文楷体" w:cs="Times New Roman" w:hint="eastAsia"/>
              </w:rPr>
              <w:t>24</w:t>
            </w:r>
            <w:r>
              <w:rPr>
                <w:rFonts w:ascii="华文楷体" w:eastAsia="华文楷体" w:hAnsi="华文楷体" w:cs="Times New Roman" w:hint="eastAsia"/>
              </w:rPr>
              <w:t>日</w:t>
            </w:r>
          </w:p>
        </w:tc>
        <w:tc>
          <w:tcPr>
            <w:tcW w:w="1276" w:type="dxa"/>
          </w:tcPr>
          <w:p w14:paraId="4FD4965E"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18.31</w:t>
            </w:r>
          </w:p>
        </w:tc>
        <w:tc>
          <w:tcPr>
            <w:tcW w:w="1080" w:type="dxa"/>
            <w:vAlign w:val="center"/>
          </w:tcPr>
          <w:p w14:paraId="2999623A" w14:textId="77777777" w:rsidR="00ED5EBF" w:rsidRDefault="00ED5EBF">
            <w:pPr>
              <w:widowControl/>
              <w:jc w:val="center"/>
              <w:rPr>
                <w:rFonts w:ascii="华文楷体" w:eastAsia="华文楷体" w:hAnsi="华文楷体" w:cs="宋体"/>
                <w:color w:val="000000"/>
                <w:kern w:val="0"/>
              </w:rPr>
            </w:pPr>
          </w:p>
        </w:tc>
        <w:tc>
          <w:tcPr>
            <w:tcW w:w="1005" w:type="dxa"/>
            <w:vAlign w:val="center"/>
          </w:tcPr>
          <w:p w14:paraId="7C5A08E2" w14:textId="77777777" w:rsidR="00ED5EBF" w:rsidRDefault="00ED5EBF">
            <w:pPr>
              <w:widowControl/>
              <w:jc w:val="center"/>
              <w:rPr>
                <w:rFonts w:ascii="华文楷体" w:eastAsia="华文楷体" w:hAnsi="华文楷体" w:cs="宋体"/>
                <w:color w:val="000000"/>
                <w:kern w:val="0"/>
              </w:rPr>
            </w:pPr>
          </w:p>
        </w:tc>
      </w:tr>
      <w:tr w:rsidR="00ED5EBF" w14:paraId="1AAE08D3" w14:textId="77777777">
        <w:trPr>
          <w:trHeight w:val="300"/>
          <w:jc w:val="center"/>
        </w:trPr>
        <w:tc>
          <w:tcPr>
            <w:tcW w:w="1733" w:type="dxa"/>
          </w:tcPr>
          <w:p w14:paraId="01D3D9B6"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三夫户外</w:t>
            </w:r>
          </w:p>
        </w:tc>
        <w:tc>
          <w:tcPr>
            <w:tcW w:w="1296" w:type="dxa"/>
            <w:vAlign w:val="center"/>
          </w:tcPr>
          <w:p w14:paraId="3753D051"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hint="eastAsia"/>
                <w:color w:val="000000"/>
                <w:kern w:val="0"/>
              </w:rPr>
              <w:t>定向增发</w:t>
            </w:r>
          </w:p>
        </w:tc>
        <w:tc>
          <w:tcPr>
            <w:tcW w:w="1890" w:type="dxa"/>
          </w:tcPr>
          <w:p w14:paraId="256B8BEC"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12</w:t>
            </w:r>
            <w:r>
              <w:rPr>
                <w:rFonts w:ascii="华文楷体" w:eastAsia="华文楷体" w:hAnsi="华文楷体" w:cs="Times New Roman" w:hint="eastAsia"/>
              </w:rPr>
              <w:t>月</w:t>
            </w:r>
            <w:r>
              <w:rPr>
                <w:rFonts w:ascii="华文楷体" w:eastAsia="华文楷体" w:hAnsi="华文楷体" w:cs="Times New Roman" w:hint="eastAsia"/>
              </w:rPr>
              <w:t>21</w:t>
            </w:r>
            <w:r>
              <w:rPr>
                <w:rFonts w:ascii="华文楷体" w:eastAsia="华文楷体" w:hAnsi="华文楷体" w:cs="Times New Roman" w:hint="eastAsia"/>
              </w:rPr>
              <w:t>日</w:t>
            </w:r>
          </w:p>
        </w:tc>
        <w:tc>
          <w:tcPr>
            <w:tcW w:w="1276" w:type="dxa"/>
          </w:tcPr>
          <w:p w14:paraId="29E394B5"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2.60</w:t>
            </w:r>
          </w:p>
        </w:tc>
        <w:tc>
          <w:tcPr>
            <w:tcW w:w="1080" w:type="dxa"/>
            <w:vAlign w:val="center"/>
          </w:tcPr>
          <w:p w14:paraId="1ACCB188" w14:textId="77777777" w:rsidR="00ED5EBF" w:rsidRDefault="00ED5EBF">
            <w:pPr>
              <w:widowControl/>
              <w:jc w:val="center"/>
              <w:rPr>
                <w:rFonts w:ascii="华文楷体" w:eastAsia="华文楷体" w:hAnsi="华文楷体" w:cs="宋体"/>
                <w:color w:val="000000"/>
                <w:kern w:val="0"/>
              </w:rPr>
            </w:pPr>
          </w:p>
        </w:tc>
        <w:tc>
          <w:tcPr>
            <w:tcW w:w="1005" w:type="dxa"/>
            <w:vAlign w:val="center"/>
          </w:tcPr>
          <w:p w14:paraId="39C376B6" w14:textId="77777777" w:rsidR="00ED5EBF" w:rsidRDefault="00ED5EBF">
            <w:pPr>
              <w:widowControl/>
              <w:jc w:val="center"/>
              <w:rPr>
                <w:rFonts w:ascii="华文楷体" w:eastAsia="华文楷体" w:hAnsi="华文楷体" w:cs="宋体"/>
                <w:color w:val="000000"/>
                <w:kern w:val="0"/>
              </w:rPr>
            </w:pPr>
          </w:p>
        </w:tc>
      </w:tr>
      <w:tr w:rsidR="00ED5EBF" w14:paraId="68884972" w14:textId="77777777">
        <w:trPr>
          <w:trHeight w:val="300"/>
          <w:jc w:val="center"/>
        </w:trPr>
        <w:tc>
          <w:tcPr>
            <w:tcW w:w="1733" w:type="dxa"/>
          </w:tcPr>
          <w:p w14:paraId="21953EED"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金一文化</w:t>
            </w:r>
          </w:p>
        </w:tc>
        <w:tc>
          <w:tcPr>
            <w:tcW w:w="1296" w:type="dxa"/>
            <w:vAlign w:val="center"/>
          </w:tcPr>
          <w:p w14:paraId="759BCD61"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hint="eastAsia"/>
                <w:color w:val="000000"/>
                <w:kern w:val="0"/>
              </w:rPr>
              <w:t>定向增发</w:t>
            </w:r>
          </w:p>
        </w:tc>
        <w:tc>
          <w:tcPr>
            <w:tcW w:w="1890" w:type="dxa"/>
          </w:tcPr>
          <w:p w14:paraId="752306C9"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12</w:t>
            </w:r>
            <w:r>
              <w:rPr>
                <w:rFonts w:ascii="华文楷体" w:eastAsia="华文楷体" w:hAnsi="华文楷体" w:cs="Times New Roman" w:hint="eastAsia"/>
              </w:rPr>
              <w:t>月</w:t>
            </w:r>
            <w:r>
              <w:rPr>
                <w:rFonts w:ascii="华文楷体" w:eastAsia="华文楷体" w:hAnsi="华文楷体" w:cs="Times New Roman" w:hint="eastAsia"/>
              </w:rPr>
              <w:t>22</w:t>
            </w:r>
            <w:r>
              <w:rPr>
                <w:rFonts w:ascii="华文楷体" w:eastAsia="华文楷体" w:hAnsi="华文楷体" w:cs="Times New Roman" w:hint="eastAsia"/>
              </w:rPr>
              <w:t>日</w:t>
            </w:r>
          </w:p>
        </w:tc>
        <w:tc>
          <w:tcPr>
            <w:tcW w:w="1276" w:type="dxa"/>
          </w:tcPr>
          <w:p w14:paraId="5BC8334C"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7.01</w:t>
            </w:r>
          </w:p>
        </w:tc>
        <w:tc>
          <w:tcPr>
            <w:tcW w:w="1080" w:type="dxa"/>
            <w:vAlign w:val="center"/>
          </w:tcPr>
          <w:p w14:paraId="2A64C234" w14:textId="77777777" w:rsidR="00ED5EBF" w:rsidRDefault="00ED5EBF">
            <w:pPr>
              <w:widowControl/>
              <w:jc w:val="center"/>
              <w:rPr>
                <w:rFonts w:ascii="华文楷体" w:eastAsia="华文楷体" w:hAnsi="华文楷体" w:cs="宋体"/>
                <w:color w:val="000000"/>
                <w:kern w:val="0"/>
              </w:rPr>
            </w:pPr>
          </w:p>
        </w:tc>
        <w:tc>
          <w:tcPr>
            <w:tcW w:w="1005" w:type="dxa"/>
            <w:vAlign w:val="center"/>
          </w:tcPr>
          <w:p w14:paraId="767B0553" w14:textId="77777777" w:rsidR="00ED5EBF" w:rsidRDefault="00ED5EBF">
            <w:pPr>
              <w:widowControl/>
              <w:jc w:val="center"/>
              <w:rPr>
                <w:rFonts w:ascii="华文楷体" w:eastAsia="华文楷体" w:hAnsi="华文楷体" w:cs="宋体"/>
                <w:color w:val="000000"/>
                <w:kern w:val="0"/>
              </w:rPr>
            </w:pPr>
          </w:p>
        </w:tc>
      </w:tr>
      <w:tr w:rsidR="00ED5EBF" w14:paraId="5F7D3297" w14:textId="77777777">
        <w:trPr>
          <w:trHeight w:val="300"/>
          <w:jc w:val="center"/>
        </w:trPr>
        <w:tc>
          <w:tcPr>
            <w:tcW w:w="1733" w:type="dxa"/>
          </w:tcPr>
          <w:p w14:paraId="4F7683D6"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荣之联</w:t>
            </w:r>
          </w:p>
        </w:tc>
        <w:tc>
          <w:tcPr>
            <w:tcW w:w="1296" w:type="dxa"/>
            <w:vAlign w:val="center"/>
          </w:tcPr>
          <w:p w14:paraId="10AC9863"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hint="eastAsia"/>
                <w:color w:val="000000"/>
                <w:kern w:val="0"/>
              </w:rPr>
              <w:t>定向增发</w:t>
            </w:r>
          </w:p>
        </w:tc>
        <w:tc>
          <w:tcPr>
            <w:tcW w:w="1890" w:type="dxa"/>
          </w:tcPr>
          <w:p w14:paraId="485EDA2B"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12</w:t>
            </w:r>
            <w:r>
              <w:rPr>
                <w:rFonts w:ascii="华文楷体" w:eastAsia="华文楷体" w:hAnsi="华文楷体" w:cs="Times New Roman" w:hint="eastAsia"/>
              </w:rPr>
              <w:t>月</w:t>
            </w:r>
            <w:r>
              <w:rPr>
                <w:rFonts w:ascii="华文楷体" w:eastAsia="华文楷体" w:hAnsi="华文楷体" w:cs="Times New Roman" w:hint="eastAsia"/>
              </w:rPr>
              <w:t>25</w:t>
            </w:r>
            <w:r>
              <w:rPr>
                <w:rFonts w:ascii="华文楷体" w:eastAsia="华文楷体" w:hAnsi="华文楷体" w:cs="Times New Roman" w:hint="eastAsia"/>
              </w:rPr>
              <w:t>日</w:t>
            </w:r>
          </w:p>
        </w:tc>
        <w:tc>
          <w:tcPr>
            <w:tcW w:w="1276" w:type="dxa"/>
          </w:tcPr>
          <w:p w14:paraId="79E4730B"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5.46</w:t>
            </w:r>
          </w:p>
        </w:tc>
        <w:tc>
          <w:tcPr>
            <w:tcW w:w="1080" w:type="dxa"/>
            <w:vAlign w:val="center"/>
          </w:tcPr>
          <w:p w14:paraId="4C1E5B84" w14:textId="77777777" w:rsidR="00ED5EBF" w:rsidRDefault="00ED5EBF">
            <w:pPr>
              <w:widowControl/>
              <w:jc w:val="center"/>
              <w:rPr>
                <w:rFonts w:ascii="华文楷体" w:eastAsia="华文楷体" w:hAnsi="华文楷体" w:cs="宋体"/>
                <w:color w:val="000000"/>
                <w:kern w:val="0"/>
              </w:rPr>
            </w:pPr>
          </w:p>
        </w:tc>
        <w:tc>
          <w:tcPr>
            <w:tcW w:w="1005" w:type="dxa"/>
            <w:vAlign w:val="center"/>
          </w:tcPr>
          <w:p w14:paraId="43A9ADCC" w14:textId="77777777" w:rsidR="00ED5EBF" w:rsidRDefault="00ED5EBF">
            <w:pPr>
              <w:widowControl/>
              <w:jc w:val="center"/>
              <w:rPr>
                <w:rFonts w:ascii="华文楷体" w:eastAsia="华文楷体" w:hAnsi="华文楷体" w:cs="宋体"/>
                <w:color w:val="000000"/>
                <w:kern w:val="0"/>
              </w:rPr>
            </w:pPr>
          </w:p>
        </w:tc>
      </w:tr>
      <w:tr w:rsidR="00ED5EBF" w14:paraId="6949A461" w14:textId="77777777">
        <w:trPr>
          <w:trHeight w:val="300"/>
          <w:jc w:val="center"/>
        </w:trPr>
        <w:tc>
          <w:tcPr>
            <w:tcW w:w="1733" w:type="dxa"/>
          </w:tcPr>
          <w:p w14:paraId="610AAFA2"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大豪科技</w:t>
            </w:r>
          </w:p>
        </w:tc>
        <w:tc>
          <w:tcPr>
            <w:tcW w:w="1296" w:type="dxa"/>
            <w:vAlign w:val="center"/>
          </w:tcPr>
          <w:p w14:paraId="7200BF74"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hint="eastAsia"/>
                <w:color w:val="000000"/>
                <w:kern w:val="0"/>
              </w:rPr>
              <w:t>定向增发</w:t>
            </w:r>
          </w:p>
        </w:tc>
        <w:tc>
          <w:tcPr>
            <w:tcW w:w="1890" w:type="dxa"/>
          </w:tcPr>
          <w:p w14:paraId="21BDAAAC"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12</w:t>
            </w:r>
            <w:r>
              <w:rPr>
                <w:rFonts w:ascii="华文楷体" w:eastAsia="华文楷体" w:hAnsi="华文楷体" w:cs="Times New Roman" w:hint="eastAsia"/>
              </w:rPr>
              <w:t>月</w:t>
            </w:r>
            <w:r>
              <w:rPr>
                <w:rFonts w:ascii="华文楷体" w:eastAsia="华文楷体" w:hAnsi="华文楷体" w:cs="Times New Roman" w:hint="eastAsia"/>
              </w:rPr>
              <w:t>26</w:t>
            </w:r>
            <w:r>
              <w:rPr>
                <w:rFonts w:ascii="华文楷体" w:eastAsia="华文楷体" w:hAnsi="华文楷体" w:cs="Times New Roman" w:hint="eastAsia"/>
              </w:rPr>
              <w:t>日</w:t>
            </w:r>
          </w:p>
        </w:tc>
        <w:tc>
          <w:tcPr>
            <w:tcW w:w="1276" w:type="dxa"/>
          </w:tcPr>
          <w:p w14:paraId="044940C2"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1.05</w:t>
            </w:r>
          </w:p>
        </w:tc>
        <w:tc>
          <w:tcPr>
            <w:tcW w:w="1080" w:type="dxa"/>
            <w:vAlign w:val="center"/>
          </w:tcPr>
          <w:p w14:paraId="094615C4" w14:textId="77777777" w:rsidR="00ED5EBF" w:rsidRDefault="00ED5EBF">
            <w:pPr>
              <w:widowControl/>
              <w:jc w:val="center"/>
              <w:rPr>
                <w:rFonts w:ascii="华文楷体" w:eastAsia="华文楷体" w:hAnsi="华文楷体" w:cs="宋体"/>
                <w:color w:val="000000"/>
                <w:kern w:val="0"/>
              </w:rPr>
            </w:pPr>
          </w:p>
        </w:tc>
        <w:tc>
          <w:tcPr>
            <w:tcW w:w="1005" w:type="dxa"/>
            <w:vAlign w:val="center"/>
          </w:tcPr>
          <w:p w14:paraId="60BDB806" w14:textId="77777777" w:rsidR="00ED5EBF" w:rsidRDefault="00ED5EBF">
            <w:pPr>
              <w:widowControl/>
              <w:jc w:val="center"/>
              <w:rPr>
                <w:rFonts w:ascii="华文楷体" w:eastAsia="华文楷体" w:hAnsi="华文楷体" w:cs="宋体"/>
                <w:color w:val="000000"/>
                <w:kern w:val="0"/>
              </w:rPr>
            </w:pPr>
          </w:p>
        </w:tc>
      </w:tr>
      <w:tr w:rsidR="00ED5EBF" w14:paraId="66C9F554" w14:textId="77777777">
        <w:trPr>
          <w:trHeight w:val="300"/>
          <w:jc w:val="center"/>
        </w:trPr>
        <w:tc>
          <w:tcPr>
            <w:tcW w:w="1733" w:type="dxa"/>
          </w:tcPr>
          <w:p w14:paraId="49341426"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北京银行</w:t>
            </w:r>
          </w:p>
        </w:tc>
        <w:tc>
          <w:tcPr>
            <w:tcW w:w="1296" w:type="dxa"/>
            <w:vAlign w:val="center"/>
          </w:tcPr>
          <w:p w14:paraId="6DF5D9C2"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hint="eastAsia"/>
                <w:color w:val="000000"/>
                <w:kern w:val="0"/>
              </w:rPr>
              <w:t>定向增发</w:t>
            </w:r>
          </w:p>
        </w:tc>
        <w:tc>
          <w:tcPr>
            <w:tcW w:w="1890" w:type="dxa"/>
          </w:tcPr>
          <w:p w14:paraId="0BAFCD28"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12</w:t>
            </w:r>
            <w:r>
              <w:rPr>
                <w:rFonts w:ascii="华文楷体" w:eastAsia="华文楷体" w:hAnsi="华文楷体" w:cs="Times New Roman" w:hint="eastAsia"/>
              </w:rPr>
              <w:t>月</w:t>
            </w:r>
            <w:r>
              <w:rPr>
                <w:rFonts w:ascii="华文楷体" w:eastAsia="华文楷体" w:hAnsi="华文楷体" w:cs="Times New Roman" w:hint="eastAsia"/>
              </w:rPr>
              <w:t>28</w:t>
            </w:r>
            <w:r>
              <w:rPr>
                <w:rFonts w:ascii="华文楷体" w:eastAsia="华文楷体" w:hAnsi="华文楷体" w:cs="Times New Roman" w:hint="eastAsia"/>
              </w:rPr>
              <w:t>日</w:t>
            </w:r>
          </w:p>
        </w:tc>
        <w:tc>
          <w:tcPr>
            <w:tcW w:w="1276" w:type="dxa"/>
          </w:tcPr>
          <w:p w14:paraId="725E3DBC"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206.41</w:t>
            </w:r>
          </w:p>
        </w:tc>
        <w:tc>
          <w:tcPr>
            <w:tcW w:w="1080" w:type="dxa"/>
            <w:vAlign w:val="center"/>
          </w:tcPr>
          <w:p w14:paraId="24735D12" w14:textId="77777777" w:rsidR="00ED5EBF" w:rsidRDefault="00ED5EBF">
            <w:pPr>
              <w:widowControl/>
              <w:jc w:val="center"/>
              <w:rPr>
                <w:rFonts w:ascii="华文楷体" w:eastAsia="华文楷体" w:hAnsi="华文楷体" w:cs="宋体"/>
                <w:color w:val="000000"/>
                <w:kern w:val="0"/>
              </w:rPr>
            </w:pPr>
          </w:p>
        </w:tc>
        <w:tc>
          <w:tcPr>
            <w:tcW w:w="1005" w:type="dxa"/>
            <w:vAlign w:val="center"/>
          </w:tcPr>
          <w:p w14:paraId="78C6341B" w14:textId="77777777" w:rsidR="00ED5EBF" w:rsidRDefault="00ED5EBF">
            <w:pPr>
              <w:widowControl/>
              <w:jc w:val="center"/>
              <w:rPr>
                <w:rFonts w:ascii="华文楷体" w:eastAsia="华文楷体" w:hAnsi="华文楷体" w:cs="宋体"/>
                <w:color w:val="000000"/>
                <w:kern w:val="0"/>
              </w:rPr>
            </w:pPr>
          </w:p>
        </w:tc>
      </w:tr>
      <w:tr w:rsidR="00ED5EBF" w14:paraId="6AD8CF1C" w14:textId="77777777">
        <w:trPr>
          <w:trHeight w:val="300"/>
          <w:jc w:val="center"/>
        </w:trPr>
        <w:tc>
          <w:tcPr>
            <w:tcW w:w="1733" w:type="dxa"/>
            <w:vAlign w:val="bottom"/>
          </w:tcPr>
          <w:p w14:paraId="6CD58BBA" w14:textId="77777777" w:rsidR="00ED5EBF" w:rsidRDefault="002034C8">
            <w:pPr>
              <w:jc w:val="center"/>
              <w:rPr>
                <w:rFonts w:ascii="华文楷体" w:eastAsia="华文楷体" w:hAnsi="华文楷体" w:cs="宋体"/>
                <w:color w:val="000000"/>
              </w:rPr>
            </w:pPr>
            <w:r>
              <w:rPr>
                <w:rFonts w:ascii="华文楷体" w:eastAsia="华文楷体" w:hAnsi="华文楷体" w:cs="Times New Roman" w:hint="eastAsia"/>
                <w:color w:val="000000"/>
              </w:rPr>
              <w:t>中国中冶</w:t>
            </w:r>
          </w:p>
        </w:tc>
        <w:tc>
          <w:tcPr>
            <w:tcW w:w="1296" w:type="dxa"/>
            <w:vAlign w:val="center"/>
          </w:tcPr>
          <w:p w14:paraId="575E5435"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color w:val="000000"/>
                <w:kern w:val="0"/>
              </w:rPr>
              <w:t>公司债</w:t>
            </w:r>
          </w:p>
        </w:tc>
        <w:tc>
          <w:tcPr>
            <w:tcW w:w="1890" w:type="dxa"/>
          </w:tcPr>
          <w:p w14:paraId="58D155FC"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10</w:t>
            </w:r>
            <w:r>
              <w:rPr>
                <w:rFonts w:ascii="华文楷体" w:eastAsia="华文楷体" w:hAnsi="华文楷体" w:cs="Times New Roman" w:hint="eastAsia"/>
              </w:rPr>
              <w:t>月</w:t>
            </w:r>
            <w:r>
              <w:rPr>
                <w:rFonts w:ascii="华文楷体" w:eastAsia="华文楷体" w:hAnsi="华文楷体" w:cs="Times New Roman" w:hint="eastAsia"/>
              </w:rPr>
              <w:t>23</w:t>
            </w:r>
            <w:r>
              <w:rPr>
                <w:rFonts w:ascii="华文楷体" w:eastAsia="华文楷体" w:hAnsi="华文楷体" w:cs="Times New Roman" w:hint="eastAsia"/>
              </w:rPr>
              <w:t>日</w:t>
            </w:r>
          </w:p>
        </w:tc>
        <w:tc>
          <w:tcPr>
            <w:tcW w:w="1276" w:type="dxa"/>
          </w:tcPr>
          <w:p w14:paraId="71DC917D"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5.7</w:t>
            </w:r>
          </w:p>
        </w:tc>
        <w:tc>
          <w:tcPr>
            <w:tcW w:w="1080" w:type="dxa"/>
          </w:tcPr>
          <w:p w14:paraId="35C66CA9"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5</w:t>
            </w:r>
          </w:p>
        </w:tc>
        <w:tc>
          <w:tcPr>
            <w:tcW w:w="1005" w:type="dxa"/>
          </w:tcPr>
          <w:p w14:paraId="184359CD"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4.99</w:t>
            </w:r>
          </w:p>
        </w:tc>
      </w:tr>
      <w:tr w:rsidR="00ED5EBF" w14:paraId="18BBEBB7" w14:textId="77777777">
        <w:trPr>
          <w:trHeight w:val="300"/>
          <w:jc w:val="center"/>
        </w:trPr>
        <w:tc>
          <w:tcPr>
            <w:tcW w:w="1733" w:type="dxa"/>
            <w:vAlign w:val="bottom"/>
          </w:tcPr>
          <w:p w14:paraId="1A8E4382" w14:textId="77777777" w:rsidR="00ED5EBF" w:rsidRDefault="002034C8">
            <w:pPr>
              <w:jc w:val="center"/>
              <w:rPr>
                <w:rFonts w:ascii="华文楷体" w:eastAsia="华文楷体" w:hAnsi="华文楷体" w:cs="宋体"/>
                <w:color w:val="000000"/>
              </w:rPr>
            </w:pPr>
            <w:r>
              <w:rPr>
                <w:rFonts w:ascii="华文楷体" w:eastAsia="华文楷体" w:hAnsi="华文楷体" w:cs="Times New Roman" w:hint="eastAsia"/>
                <w:color w:val="000000"/>
              </w:rPr>
              <w:t>光线传媒</w:t>
            </w:r>
          </w:p>
        </w:tc>
        <w:tc>
          <w:tcPr>
            <w:tcW w:w="1296" w:type="dxa"/>
          </w:tcPr>
          <w:p w14:paraId="5EC0A013" w14:textId="77777777" w:rsidR="00ED5EBF" w:rsidRDefault="002034C8">
            <w:pPr>
              <w:jc w:val="center"/>
              <w:rPr>
                <w:rFonts w:ascii="华文楷体" w:eastAsia="华文楷体" w:hAnsi="华文楷体" w:cs="Times New Roman"/>
              </w:rPr>
            </w:pPr>
            <w:r>
              <w:rPr>
                <w:rFonts w:ascii="华文楷体" w:eastAsia="华文楷体" w:hAnsi="华文楷体" w:cs="宋体" w:hint="eastAsia"/>
                <w:color w:val="000000"/>
                <w:kern w:val="0"/>
              </w:rPr>
              <w:t>公司债</w:t>
            </w:r>
          </w:p>
        </w:tc>
        <w:tc>
          <w:tcPr>
            <w:tcW w:w="1890" w:type="dxa"/>
          </w:tcPr>
          <w:p w14:paraId="1EC9EE8B"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10</w:t>
            </w:r>
            <w:r>
              <w:rPr>
                <w:rFonts w:ascii="华文楷体" w:eastAsia="华文楷体" w:hAnsi="华文楷体" w:cs="Times New Roman" w:hint="eastAsia"/>
              </w:rPr>
              <w:t>月</w:t>
            </w:r>
            <w:r>
              <w:rPr>
                <w:rFonts w:ascii="华文楷体" w:eastAsia="华文楷体" w:hAnsi="华文楷体" w:cs="Times New Roman" w:hint="eastAsia"/>
              </w:rPr>
              <w:t>25</w:t>
            </w:r>
            <w:r>
              <w:rPr>
                <w:rFonts w:ascii="华文楷体" w:eastAsia="华文楷体" w:hAnsi="华文楷体" w:cs="Times New Roman" w:hint="eastAsia"/>
              </w:rPr>
              <w:t>日</w:t>
            </w:r>
          </w:p>
        </w:tc>
        <w:tc>
          <w:tcPr>
            <w:tcW w:w="1276" w:type="dxa"/>
          </w:tcPr>
          <w:p w14:paraId="43D104B7"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10</w:t>
            </w:r>
          </w:p>
        </w:tc>
        <w:tc>
          <w:tcPr>
            <w:tcW w:w="1080" w:type="dxa"/>
          </w:tcPr>
          <w:p w14:paraId="44AEBF7D"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3</w:t>
            </w:r>
          </w:p>
        </w:tc>
        <w:tc>
          <w:tcPr>
            <w:tcW w:w="1005" w:type="dxa"/>
          </w:tcPr>
          <w:p w14:paraId="7EF50489"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5.3</w:t>
            </w:r>
          </w:p>
        </w:tc>
      </w:tr>
      <w:tr w:rsidR="00ED5EBF" w14:paraId="280B9AC5" w14:textId="77777777">
        <w:trPr>
          <w:trHeight w:val="300"/>
          <w:jc w:val="center"/>
        </w:trPr>
        <w:tc>
          <w:tcPr>
            <w:tcW w:w="1733" w:type="dxa"/>
            <w:vAlign w:val="bottom"/>
          </w:tcPr>
          <w:p w14:paraId="7C4E8D57" w14:textId="77777777" w:rsidR="00ED5EBF" w:rsidRDefault="002034C8">
            <w:pPr>
              <w:jc w:val="center"/>
              <w:rPr>
                <w:rFonts w:ascii="华文楷体" w:eastAsia="华文楷体" w:hAnsi="华文楷体" w:cs="宋体"/>
                <w:color w:val="000000"/>
              </w:rPr>
            </w:pPr>
            <w:r>
              <w:rPr>
                <w:rFonts w:ascii="华文楷体" w:eastAsia="华文楷体" w:hAnsi="华文楷体" w:cs="Times New Roman" w:hint="eastAsia"/>
                <w:color w:val="000000"/>
              </w:rPr>
              <w:t>华能国际</w:t>
            </w:r>
          </w:p>
        </w:tc>
        <w:tc>
          <w:tcPr>
            <w:tcW w:w="1296" w:type="dxa"/>
          </w:tcPr>
          <w:p w14:paraId="6C9135D8" w14:textId="77777777" w:rsidR="00ED5EBF" w:rsidRDefault="002034C8">
            <w:pPr>
              <w:jc w:val="center"/>
              <w:rPr>
                <w:rFonts w:ascii="华文楷体" w:eastAsia="华文楷体" w:hAnsi="华文楷体" w:cs="Times New Roman"/>
              </w:rPr>
            </w:pPr>
            <w:r>
              <w:rPr>
                <w:rFonts w:ascii="华文楷体" w:eastAsia="华文楷体" w:hAnsi="华文楷体" w:cs="宋体" w:hint="eastAsia"/>
                <w:color w:val="000000"/>
                <w:kern w:val="0"/>
              </w:rPr>
              <w:t>公司债</w:t>
            </w:r>
          </w:p>
        </w:tc>
        <w:tc>
          <w:tcPr>
            <w:tcW w:w="1890" w:type="dxa"/>
          </w:tcPr>
          <w:p w14:paraId="19CB8766"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11</w:t>
            </w:r>
            <w:r>
              <w:rPr>
                <w:rFonts w:ascii="华文楷体" w:eastAsia="华文楷体" w:hAnsi="华文楷体" w:cs="Times New Roman" w:hint="eastAsia"/>
              </w:rPr>
              <w:t>月</w:t>
            </w:r>
            <w:r>
              <w:rPr>
                <w:rFonts w:ascii="华文楷体" w:eastAsia="华文楷体" w:hAnsi="华文楷体" w:cs="Times New Roman" w:hint="eastAsia"/>
              </w:rPr>
              <w:t>2</w:t>
            </w:r>
            <w:r>
              <w:rPr>
                <w:rFonts w:ascii="华文楷体" w:eastAsia="华文楷体" w:hAnsi="华文楷体" w:cs="Times New Roman" w:hint="eastAsia"/>
              </w:rPr>
              <w:t>日</w:t>
            </w:r>
          </w:p>
        </w:tc>
        <w:tc>
          <w:tcPr>
            <w:tcW w:w="1276" w:type="dxa"/>
          </w:tcPr>
          <w:p w14:paraId="30160522"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23</w:t>
            </w:r>
          </w:p>
        </w:tc>
        <w:tc>
          <w:tcPr>
            <w:tcW w:w="1080" w:type="dxa"/>
          </w:tcPr>
          <w:p w14:paraId="57CFC237"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3</w:t>
            </w:r>
          </w:p>
        </w:tc>
        <w:tc>
          <w:tcPr>
            <w:tcW w:w="1005" w:type="dxa"/>
          </w:tcPr>
          <w:p w14:paraId="585AA227"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4.99</w:t>
            </w:r>
          </w:p>
        </w:tc>
      </w:tr>
      <w:tr w:rsidR="00ED5EBF" w14:paraId="4927596C" w14:textId="77777777">
        <w:trPr>
          <w:trHeight w:val="300"/>
          <w:jc w:val="center"/>
        </w:trPr>
        <w:tc>
          <w:tcPr>
            <w:tcW w:w="1733" w:type="dxa"/>
            <w:vAlign w:val="bottom"/>
          </w:tcPr>
          <w:p w14:paraId="603D40EB" w14:textId="77777777" w:rsidR="00ED5EBF" w:rsidRDefault="002034C8">
            <w:pPr>
              <w:jc w:val="center"/>
              <w:rPr>
                <w:rFonts w:ascii="华文楷体" w:eastAsia="华文楷体" w:hAnsi="华文楷体" w:cs="宋体"/>
                <w:color w:val="000000"/>
              </w:rPr>
            </w:pPr>
            <w:r>
              <w:rPr>
                <w:rFonts w:ascii="华文楷体" w:eastAsia="华文楷体" w:hAnsi="华文楷体" w:cs="Times New Roman" w:hint="eastAsia"/>
                <w:color w:val="000000"/>
              </w:rPr>
              <w:t>四维图新</w:t>
            </w:r>
          </w:p>
        </w:tc>
        <w:tc>
          <w:tcPr>
            <w:tcW w:w="1296" w:type="dxa"/>
          </w:tcPr>
          <w:p w14:paraId="28F070E8" w14:textId="77777777" w:rsidR="00ED5EBF" w:rsidRDefault="002034C8">
            <w:pPr>
              <w:jc w:val="center"/>
              <w:rPr>
                <w:rFonts w:ascii="华文楷体" w:eastAsia="华文楷体" w:hAnsi="华文楷体" w:cs="Times New Roman"/>
              </w:rPr>
            </w:pPr>
            <w:r>
              <w:rPr>
                <w:rFonts w:ascii="华文楷体" w:eastAsia="华文楷体" w:hAnsi="华文楷体" w:cs="宋体" w:hint="eastAsia"/>
                <w:color w:val="000000"/>
                <w:kern w:val="0"/>
              </w:rPr>
              <w:t>公司债</w:t>
            </w:r>
          </w:p>
        </w:tc>
        <w:tc>
          <w:tcPr>
            <w:tcW w:w="1890" w:type="dxa"/>
          </w:tcPr>
          <w:p w14:paraId="2B283F96"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11</w:t>
            </w:r>
            <w:r>
              <w:rPr>
                <w:rFonts w:ascii="华文楷体" w:eastAsia="华文楷体" w:hAnsi="华文楷体" w:cs="Times New Roman" w:hint="eastAsia"/>
              </w:rPr>
              <w:t>月</w:t>
            </w:r>
            <w:r>
              <w:rPr>
                <w:rFonts w:ascii="华文楷体" w:eastAsia="华文楷体" w:hAnsi="华文楷体" w:cs="Times New Roman" w:hint="eastAsia"/>
              </w:rPr>
              <w:t>22</w:t>
            </w:r>
            <w:r>
              <w:rPr>
                <w:rFonts w:ascii="华文楷体" w:eastAsia="华文楷体" w:hAnsi="华文楷体" w:cs="Times New Roman" w:hint="eastAsia"/>
              </w:rPr>
              <w:t>日</w:t>
            </w:r>
          </w:p>
        </w:tc>
        <w:tc>
          <w:tcPr>
            <w:tcW w:w="1276" w:type="dxa"/>
          </w:tcPr>
          <w:p w14:paraId="421C2606"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0.5</w:t>
            </w:r>
          </w:p>
        </w:tc>
        <w:tc>
          <w:tcPr>
            <w:tcW w:w="1080" w:type="dxa"/>
          </w:tcPr>
          <w:p w14:paraId="4CEB876D"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3</w:t>
            </w:r>
          </w:p>
        </w:tc>
        <w:tc>
          <w:tcPr>
            <w:tcW w:w="1005" w:type="dxa"/>
          </w:tcPr>
          <w:p w14:paraId="02B732DF"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6</w:t>
            </w:r>
          </w:p>
        </w:tc>
      </w:tr>
      <w:tr w:rsidR="00ED5EBF" w14:paraId="5380978F" w14:textId="77777777">
        <w:trPr>
          <w:trHeight w:val="300"/>
          <w:jc w:val="center"/>
        </w:trPr>
        <w:tc>
          <w:tcPr>
            <w:tcW w:w="1733" w:type="dxa"/>
            <w:vAlign w:val="bottom"/>
          </w:tcPr>
          <w:p w14:paraId="059E57DC" w14:textId="77777777" w:rsidR="00ED5EBF" w:rsidRDefault="002034C8">
            <w:pPr>
              <w:jc w:val="center"/>
              <w:rPr>
                <w:rFonts w:ascii="华文楷体" w:eastAsia="华文楷体" w:hAnsi="华文楷体" w:cs="宋体"/>
                <w:color w:val="000000"/>
              </w:rPr>
            </w:pPr>
            <w:r>
              <w:rPr>
                <w:rFonts w:ascii="华文楷体" w:eastAsia="华文楷体" w:hAnsi="华文楷体" w:cs="Times New Roman" w:hint="eastAsia"/>
                <w:color w:val="000000"/>
              </w:rPr>
              <w:t>千方科技</w:t>
            </w:r>
          </w:p>
        </w:tc>
        <w:tc>
          <w:tcPr>
            <w:tcW w:w="1296" w:type="dxa"/>
          </w:tcPr>
          <w:p w14:paraId="269D5250" w14:textId="77777777" w:rsidR="00ED5EBF" w:rsidRDefault="002034C8">
            <w:pPr>
              <w:jc w:val="center"/>
              <w:rPr>
                <w:rFonts w:ascii="华文楷体" w:eastAsia="华文楷体" w:hAnsi="华文楷体" w:cs="Times New Roman"/>
              </w:rPr>
            </w:pPr>
            <w:r>
              <w:rPr>
                <w:rFonts w:ascii="华文楷体" w:eastAsia="华文楷体" w:hAnsi="华文楷体" w:cs="宋体" w:hint="eastAsia"/>
                <w:color w:val="000000"/>
                <w:kern w:val="0"/>
              </w:rPr>
              <w:t>公司债</w:t>
            </w:r>
          </w:p>
        </w:tc>
        <w:tc>
          <w:tcPr>
            <w:tcW w:w="1890" w:type="dxa"/>
          </w:tcPr>
          <w:p w14:paraId="7C6B9429"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11</w:t>
            </w:r>
            <w:r>
              <w:rPr>
                <w:rFonts w:ascii="华文楷体" w:eastAsia="华文楷体" w:hAnsi="华文楷体" w:cs="Times New Roman" w:hint="eastAsia"/>
              </w:rPr>
              <w:t>月</w:t>
            </w:r>
            <w:r>
              <w:rPr>
                <w:rFonts w:ascii="华文楷体" w:eastAsia="华文楷体" w:hAnsi="华文楷体" w:cs="Times New Roman" w:hint="eastAsia"/>
              </w:rPr>
              <w:t>27</w:t>
            </w:r>
            <w:r>
              <w:rPr>
                <w:rFonts w:ascii="华文楷体" w:eastAsia="华文楷体" w:hAnsi="华文楷体" w:cs="Times New Roman" w:hint="eastAsia"/>
              </w:rPr>
              <w:t>日</w:t>
            </w:r>
          </w:p>
        </w:tc>
        <w:tc>
          <w:tcPr>
            <w:tcW w:w="1276" w:type="dxa"/>
          </w:tcPr>
          <w:p w14:paraId="461FE593"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1</w:t>
            </w:r>
          </w:p>
        </w:tc>
        <w:tc>
          <w:tcPr>
            <w:tcW w:w="1080" w:type="dxa"/>
          </w:tcPr>
          <w:p w14:paraId="50B71BD5"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5</w:t>
            </w:r>
          </w:p>
        </w:tc>
        <w:tc>
          <w:tcPr>
            <w:tcW w:w="1005" w:type="dxa"/>
          </w:tcPr>
          <w:p w14:paraId="1BB395A5"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6.5</w:t>
            </w:r>
          </w:p>
        </w:tc>
      </w:tr>
      <w:tr w:rsidR="00ED5EBF" w14:paraId="7D6749CC" w14:textId="77777777">
        <w:trPr>
          <w:trHeight w:val="300"/>
          <w:jc w:val="center"/>
        </w:trPr>
        <w:tc>
          <w:tcPr>
            <w:tcW w:w="1733" w:type="dxa"/>
            <w:vAlign w:val="bottom"/>
          </w:tcPr>
          <w:p w14:paraId="074320C5" w14:textId="77777777" w:rsidR="00ED5EBF" w:rsidRDefault="002034C8">
            <w:pPr>
              <w:jc w:val="center"/>
              <w:rPr>
                <w:rFonts w:ascii="华文楷体" w:eastAsia="华文楷体" w:hAnsi="华文楷体" w:cs="宋体"/>
                <w:color w:val="000000"/>
              </w:rPr>
            </w:pPr>
            <w:r>
              <w:rPr>
                <w:rFonts w:ascii="华文楷体" w:eastAsia="华文楷体" w:hAnsi="华文楷体" w:cs="Times New Roman" w:hint="eastAsia"/>
                <w:color w:val="000000"/>
              </w:rPr>
              <w:t>博天环境</w:t>
            </w:r>
          </w:p>
        </w:tc>
        <w:tc>
          <w:tcPr>
            <w:tcW w:w="1296" w:type="dxa"/>
          </w:tcPr>
          <w:p w14:paraId="354CD48C" w14:textId="77777777" w:rsidR="00ED5EBF" w:rsidRDefault="002034C8">
            <w:pPr>
              <w:jc w:val="center"/>
              <w:rPr>
                <w:rFonts w:ascii="华文楷体" w:eastAsia="华文楷体" w:hAnsi="华文楷体" w:cs="Times New Roman"/>
              </w:rPr>
            </w:pPr>
            <w:r>
              <w:rPr>
                <w:rFonts w:ascii="华文楷体" w:eastAsia="华文楷体" w:hAnsi="华文楷体" w:cs="宋体" w:hint="eastAsia"/>
                <w:color w:val="000000"/>
                <w:kern w:val="0"/>
              </w:rPr>
              <w:t>公司债</w:t>
            </w:r>
          </w:p>
        </w:tc>
        <w:tc>
          <w:tcPr>
            <w:tcW w:w="1890" w:type="dxa"/>
          </w:tcPr>
          <w:p w14:paraId="5F82D46D"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12</w:t>
            </w:r>
            <w:r>
              <w:rPr>
                <w:rFonts w:ascii="华文楷体" w:eastAsia="华文楷体" w:hAnsi="华文楷体" w:cs="Times New Roman" w:hint="eastAsia"/>
              </w:rPr>
              <w:t>月</w:t>
            </w:r>
            <w:r>
              <w:rPr>
                <w:rFonts w:ascii="华文楷体" w:eastAsia="华文楷体" w:hAnsi="华文楷体" w:cs="Times New Roman" w:hint="eastAsia"/>
              </w:rPr>
              <w:t>18</w:t>
            </w:r>
            <w:r>
              <w:rPr>
                <w:rFonts w:ascii="华文楷体" w:eastAsia="华文楷体" w:hAnsi="华文楷体" w:cs="Times New Roman" w:hint="eastAsia"/>
              </w:rPr>
              <w:t>日</w:t>
            </w:r>
          </w:p>
        </w:tc>
        <w:tc>
          <w:tcPr>
            <w:tcW w:w="1276" w:type="dxa"/>
          </w:tcPr>
          <w:p w14:paraId="391C4412"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3</w:t>
            </w:r>
          </w:p>
        </w:tc>
        <w:tc>
          <w:tcPr>
            <w:tcW w:w="1080" w:type="dxa"/>
          </w:tcPr>
          <w:p w14:paraId="0C6C44A7"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5</w:t>
            </w:r>
          </w:p>
        </w:tc>
        <w:tc>
          <w:tcPr>
            <w:tcW w:w="1005" w:type="dxa"/>
          </w:tcPr>
          <w:p w14:paraId="3092738A"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6.5</w:t>
            </w:r>
          </w:p>
        </w:tc>
      </w:tr>
      <w:tr w:rsidR="00ED5EBF" w14:paraId="7618DD48" w14:textId="77777777">
        <w:trPr>
          <w:trHeight w:val="300"/>
          <w:jc w:val="center"/>
        </w:trPr>
        <w:tc>
          <w:tcPr>
            <w:tcW w:w="1733" w:type="dxa"/>
            <w:vAlign w:val="bottom"/>
          </w:tcPr>
          <w:p w14:paraId="7E87210D" w14:textId="77777777" w:rsidR="00ED5EBF" w:rsidRDefault="002034C8">
            <w:pPr>
              <w:jc w:val="center"/>
              <w:rPr>
                <w:rFonts w:ascii="华文楷体" w:eastAsia="华文楷体" w:hAnsi="华文楷体" w:cs="宋体"/>
                <w:color w:val="000000"/>
              </w:rPr>
            </w:pPr>
            <w:r>
              <w:rPr>
                <w:rFonts w:ascii="华文楷体" w:eastAsia="华文楷体" w:hAnsi="华文楷体" w:cs="Times New Roman" w:hint="eastAsia"/>
                <w:color w:val="000000"/>
              </w:rPr>
              <w:t>华谊嘉信</w:t>
            </w:r>
          </w:p>
        </w:tc>
        <w:tc>
          <w:tcPr>
            <w:tcW w:w="1296" w:type="dxa"/>
          </w:tcPr>
          <w:p w14:paraId="210BD900" w14:textId="77777777" w:rsidR="00ED5EBF" w:rsidRDefault="002034C8">
            <w:pPr>
              <w:jc w:val="center"/>
              <w:rPr>
                <w:rFonts w:ascii="华文楷体" w:eastAsia="华文楷体" w:hAnsi="华文楷体" w:cs="Times New Roman"/>
              </w:rPr>
            </w:pPr>
            <w:r>
              <w:rPr>
                <w:rFonts w:ascii="华文楷体" w:eastAsia="华文楷体" w:hAnsi="华文楷体" w:cs="宋体" w:hint="eastAsia"/>
                <w:color w:val="000000"/>
                <w:kern w:val="0"/>
              </w:rPr>
              <w:t>公司债</w:t>
            </w:r>
          </w:p>
        </w:tc>
        <w:tc>
          <w:tcPr>
            <w:tcW w:w="1890" w:type="dxa"/>
          </w:tcPr>
          <w:p w14:paraId="5E90906B"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12</w:t>
            </w:r>
            <w:r>
              <w:rPr>
                <w:rFonts w:ascii="华文楷体" w:eastAsia="华文楷体" w:hAnsi="华文楷体" w:cs="Times New Roman" w:hint="eastAsia"/>
              </w:rPr>
              <w:t>月</w:t>
            </w:r>
            <w:r>
              <w:rPr>
                <w:rFonts w:ascii="华文楷体" w:eastAsia="华文楷体" w:hAnsi="华文楷体" w:cs="Times New Roman" w:hint="eastAsia"/>
              </w:rPr>
              <w:t>27</w:t>
            </w:r>
            <w:r>
              <w:rPr>
                <w:rFonts w:ascii="华文楷体" w:eastAsia="华文楷体" w:hAnsi="华文楷体" w:cs="Times New Roman" w:hint="eastAsia"/>
              </w:rPr>
              <w:t>日</w:t>
            </w:r>
          </w:p>
        </w:tc>
        <w:tc>
          <w:tcPr>
            <w:tcW w:w="1276" w:type="dxa"/>
          </w:tcPr>
          <w:p w14:paraId="6B013448"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3.3</w:t>
            </w:r>
          </w:p>
        </w:tc>
        <w:tc>
          <w:tcPr>
            <w:tcW w:w="1080" w:type="dxa"/>
          </w:tcPr>
          <w:p w14:paraId="283F9F13"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3</w:t>
            </w:r>
          </w:p>
        </w:tc>
        <w:tc>
          <w:tcPr>
            <w:tcW w:w="1005" w:type="dxa"/>
          </w:tcPr>
          <w:p w14:paraId="2BC66B8D"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6.55</w:t>
            </w:r>
          </w:p>
        </w:tc>
      </w:tr>
      <w:tr w:rsidR="00ED5EBF" w14:paraId="314D4F52" w14:textId="77777777">
        <w:trPr>
          <w:trHeight w:val="300"/>
          <w:jc w:val="center"/>
        </w:trPr>
        <w:tc>
          <w:tcPr>
            <w:tcW w:w="1733" w:type="dxa"/>
          </w:tcPr>
          <w:p w14:paraId="32EE03ED"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众信旅游</w:t>
            </w:r>
          </w:p>
        </w:tc>
        <w:tc>
          <w:tcPr>
            <w:tcW w:w="1296" w:type="dxa"/>
            <w:vAlign w:val="center"/>
          </w:tcPr>
          <w:p w14:paraId="70195CCF"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hint="eastAsia"/>
                <w:color w:val="000000"/>
                <w:kern w:val="0"/>
              </w:rPr>
              <w:t>可转债</w:t>
            </w:r>
          </w:p>
        </w:tc>
        <w:tc>
          <w:tcPr>
            <w:tcW w:w="1890" w:type="dxa"/>
          </w:tcPr>
          <w:p w14:paraId="180A5681"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12</w:t>
            </w:r>
            <w:r>
              <w:rPr>
                <w:rFonts w:ascii="华文楷体" w:eastAsia="华文楷体" w:hAnsi="华文楷体" w:cs="Times New Roman" w:hint="eastAsia"/>
              </w:rPr>
              <w:t>月</w:t>
            </w:r>
            <w:r>
              <w:rPr>
                <w:rFonts w:ascii="华文楷体" w:eastAsia="华文楷体" w:hAnsi="华文楷体" w:cs="Times New Roman" w:hint="eastAsia"/>
              </w:rPr>
              <w:t>1</w:t>
            </w:r>
            <w:r>
              <w:rPr>
                <w:rFonts w:ascii="华文楷体" w:eastAsia="华文楷体" w:hAnsi="华文楷体" w:cs="Times New Roman" w:hint="eastAsia"/>
              </w:rPr>
              <w:t>日</w:t>
            </w:r>
          </w:p>
        </w:tc>
        <w:tc>
          <w:tcPr>
            <w:tcW w:w="1276" w:type="dxa"/>
          </w:tcPr>
          <w:p w14:paraId="5FA55C84"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7</w:t>
            </w:r>
          </w:p>
        </w:tc>
        <w:tc>
          <w:tcPr>
            <w:tcW w:w="1080" w:type="dxa"/>
          </w:tcPr>
          <w:p w14:paraId="65DB22FF"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6</w:t>
            </w:r>
          </w:p>
        </w:tc>
        <w:tc>
          <w:tcPr>
            <w:tcW w:w="1005" w:type="dxa"/>
          </w:tcPr>
          <w:p w14:paraId="22DA71D2"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0.3</w:t>
            </w:r>
          </w:p>
        </w:tc>
      </w:tr>
      <w:tr w:rsidR="00ED5EBF" w14:paraId="2B0725DC" w14:textId="77777777">
        <w:trPr>
          <w:trHeight w:val="300"/>
          <w:jc w:val="center"/>
        </w:trPr>
        <w:tc>
          <w:tcPr>
            <w:tcW w:w="1733" w:type="dxa"/>
          </w:tcPr>
          <w:p w14:paraId="7DE8C1F2"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中航电子</w:t>
            </w:r>
          </w:p>
        </w:tc>
        <w:tc>
          <w:tcPr>
            <w:tcW w:w="1296" w:type="dxa"/>
            <w:vAlign w:val="center"/>
          </w:tcPr>
          <w:p w14:paraId="656553DA"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hint="eastAsia"/>
                <w:color w:val="000000"/>
                <w:kern w:val="0"/>
              </w:rPr>
              <w:t>可转债</w:t>
            </w:r>
          </w:p>
        </w:tc>
        <w:tc>
          <w:tcPr>
            <w:tcW w:w="1890" w:type="dxa"/>
          </w:tcPr>
          <w:p w14:paraId="7B4EC49C"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12</w:t>
            </w:r>
            <w:r>
              <w:rPr>
                <w:rFonts w:ascii="华文楷体" w:eastAsia="华文楷体" w:hAnsi="华文楷体" w:cs="Times New Roman" w:hint="eastAsia"/>
              </w:rPr>
              <w:t>月</w:t>
            </w:r>
            <w:r>
              <w:rPr>
                <w:rFonts w:ascii="华文楷体" w:eastAsia="华文楷体" w:hAnsi="华文楷体" w:cs="Times New Roman" w:hint="eastAsia"/>
              </w:rPr>
              <w:t>25</w:t>
            </w:r>
            <w:r>
              <w:rPr>
                <w:rFonts w:ascii="华文楷体" w:eastAsia="华文楷体" w:hAnsi="华文楷体" w:cs="Times New Roman" w:hint="eastAsia"/>
              </w:rPr>
              <w:t>日</w:t>
            </w:r>
          </w:p>
        </w:tc>
        <w:tc>
          <w:tcPr>
            <w:tcW w:w="1276" w:type="dxa"/>
          </w:tcPr>
          <w:p w14:paraId="17D97C86"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24</w:t>
            </w:r>
          </w:p>
        </w:tc>
        <w:tc>
          <w:tcPr>
            <w:tcW w:w="1080" w:type="dxa"/>
          </w:tcPr>
          <w:p w14:paraId="0D8AF13B"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6</w:t>
            </w:r>
          </w:p>
        </w:tc>
        <w:tc>
          <w:tcPr>
            <w:tcW w:w="1005" w:type="dxa"/>
          </w:tcPr>
          <w:p w14:paraId="26552207"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0.2</w:t>
            </w:r>
          </w:p>
        </w:tc>
      </w:tr>
      <w:tr w:rsidR="00ED5EBF" w14:paraId="2A9B7ED6" w14:textId="77777777">
        <w:trPr>
          <w:trHeight w:val="300"/>
          <w:jc w:val="center"/>
        </w:trPr>
        <w:tc>
          <w:tcPr>
            <w:tcW w:w="1733" w:type="dxa"/>
          </w:tcPr>
          <w:p w14:paraId="4C442F0E"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雪迪龙</w:t>
            </w:r>
          </w:p>
        </w:tc>
        <w:tc>
          <w:tcPr>
            <w:tcW w:w="1296" w:type="dxa"/>
            <w:vAlign w:val="center"/>
          </w:tcPr>
          <w:p w14:paraId="6ECE0686" w14:textId="77777777" w:rsidR="00ED5EBF" w:rsidRDefault="002034C8">
            <w:pPr>
              <w:widowControl/>
              <w:jc w:val="center"/>
              <w:rPr>
                <w:rFonts w:ascii="华文楷体" w:eastAsia="华文楷体" w:hAnsi="华文楷体" w:cs="宋体"/>
                <w:color w:val="000000"/>
                <w:kern w:val="0"/>
              </w:rPr>
            </w:pPr>
            <w:r>
              <w:rPr>
                <w:rFonts w:ascii="华文楷体" w:eastAsia="华文楷体" w:hAnsi="华文楷体" w:cs="宋体" w:hint="eastAsia"/>
                <w:color w:val="000000"/>
                <w:kern w:val="0"/>
              </w:rPr>
              <w:t>可转债</w:t>
            </w:r>
          </w:p>
        </w:tc>
        <w:tc>
          <w:tcPr>
            <w:tcW w:w="1890" w:type="dxa"/>
          </w:tcPr>
          <w:p w14:paraId="70DD25BB"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12</w:t>
            </w:r>
            <w:r>
              <w:rPr>
                <w:rFonts w:ascii="华文楷体" w:eastAsia="华文楷体" w:hAnsi="华文楷体" w:cs="Times New Roman" w:hint="eastAsia"/>
              </w:rPr>
              <w:t>月</w:t>
            </w:r>
            <w:r>
              <w:rPr>
                <w:rFonts w:ascii="华文楷体" w:eastAsia="华文楷体" w:hAnsi="华文楷体" w:cs="Times New Roman" w:hint="eastAsia"/>
              </w:rPr>
              <w:t>27</w:t>
            </w:r>
            <w:r>
              <w:rPr>
                <w:rFonts w:ascii="华文楷体" w:eastAsia="华文楷体" w:hAnsi="华文楷体" w:cs="Times New Roman" w:hint="eastAsia"/>
              </w:rPr>
              <w:t>日</w:t>
            </w:r>
          </w:p>
        </w:tc>
        <w:tc>
          <w:tcPr>
            <w:tcW w:w="1276" w:type="dxa"/>
          </w:tcPr>
          <w:p w14:paraId="6EFD7C3A"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5.2</w:t>
            </w:r>
          </w:p>
        </w:tc>
        <w:tc>
          <w:tcPr>
            <w:tcW w:w="1080" w:type="dxa"/>
          </w:tcPr>
          <w:p w14:paraId="0D93C2AC" w14:textId="77777777" w:rsidR="00ED5EBF" w:rsidRDefault="002034C8">
            <w:pPr>
              <w:jc w:val="center"/>
              <w:rPr>
                <w:rFonts w:ascii="华文楷体" w:eastAsia="华文楷体" w:hAnsi="华文楷体" w:cs="宋体"/>
              </w:rPr>
            </w:pPr>
            <w:r>
              <w:rPr>
                <w:rFonts w:ascii="华文楷体" w:eastAsia="华文楷体" w:hAnsi="华文楷体" w:cs="Times New Roman" w:hint="eastAsia"/>
              </w:rPr>
              <w:t>6</w:t>
            </w:r>
          </w:p>
        </w:tc>
        <w:tc>
          <w:tcPr>
            <w:tcW w:w="1005" w:type="dxa"/>
          </w:tcPr>
          <w:p w14:paraId="789FEEDD"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0.3</w:t>
            </w:r>
          </w:p>
        </w:tc>
      </w:tr>
      <w:tr w:rsidR="00ED5EBF" w14:paraId="587D3831" w14:textId="77777777">
        <w:trPr>
          <w:trHeight w:val="300"/>
          <w:jc w:val="center"/>
        </w:trPr>
        <w:tc>
          <w:tcPr>
            <w:tcW w:w="1733" w:type="dxa"/>
            <w:vAlign w:val="center"/>
          </w:tcPr>
          <w:p w14:paraId="2A5D969C" w14:textId="77777777" w:rsidR="00ED5EBF" w:rsidRDefault="00ED5EBF">
            <w:pPr>
              <w:widowControl/>
              <w:jc w:val="center"/>
              <w:rPr>
                <w:rFonts w:ascii="华文楷体" w:eastAsia="华文楷体" w:hAnsi="华文楷体" w:cs="宋体"/>
                <w:b/>
                <w:bCs/>
                <w:color w:val="000000"/>
                <w:kern w:val="0"/>
              </w:rPr>
            </w:pPr>
          </w:p>
        </w:tc>
        <w:tc>
          <w:tcPr>
            <w:tcW w:w="1296" w:type="dxa"/>
            <w:vAlign w:val="center"/>
          </w:tcPr>
          <w:p w14:paraId="6367A15B" w14:textId="77777777" w:rsidR="00ED5EBF" w:rsidRDefault="00ED5EBF">
            <w:pPr>
              <w:widowControl/>
              <w:jc w:val="center"/>
              <w:rPr>
                <w:rFonts w:ascii="华文楷体" w:eastAsia="华文楷体" w:hAnsi="华文楷体" w:cs="宋体"/>
                <w:b/>
                <w:bCs/>
                <w:color w:val="000000"/>
                <w:kern w:val="0"/>
              </w:rPr>
            </w:pPr>
          </w:p>
        </w:tc>
        <w:tc>
          <w:tcPr>
            <w:tcW w:w="1890" w:type="dxa"/>
            <w:vAlign w:val="center"/>
          </w:tcPr>
          <w:p w14:paraId="19A6133A" w14:textId="77777777" w:rsidR="00ED5EBF" w:rsidRDefault="002034C8">
            <w:pPr>
              <w:widowControl/>
              <w:jc w:val="center"/>
              <w:rPr>
                <w:rFonts w:ascii="华文楷体" w:eastAsia="华文楷体" w:hAnsi="华文楷体" w:cs="宋体"/>
                <w:b/>
                <w:bCs/>
                <w:color w:val="000000"/>
                <w:kern w:val="0"/>
              </w:rPr>
            </w:pPr>
            <w:r>
              <w:rPr>
                <w:rFonts w:ascii="华文楷体" w:eastAsia="华文楷体" w:hAnsi="华文楷体" w:cs="宋体" w:hint="eastAsia"/>
                <w:b/>
                <w:bCs/>
                <w:color w:val="000000"/>
                <w:kern w:val="0"/>
              </w:rPr>
              <w:t>合计</w:t>
            </w:r>
          </w:p>
        </w:tc>
        <w:tc>
          <w:tcPr>
            <w:tcW w:w="1276" w:type="dxa"/>
            <w:vAlign w:val="center"/>
          </w:tcPr>
          <w:p w14:paraId="133C5284" w14:textId="77777777" w:rsidR="00ED5EBF" w:rsidRDefault="002034C8">
            <w:pPr>
              <w:widowControl/>
              <w:ind w:firstLineChars="100" w:firstLine="240"/>
              <w:rPr>
                <w:rFonts w:ascii="华文楷体" w:eastAsia="华文楷体" w:hAnsi="华文楷体" w:cs="宋体"/>
                <w:b/>
                <w:bCs/>
                <w:color w:val="000000"/>
                <w:kern w:val="0"/>
              </w:rPr>
            </w:pPr>
            <w:r>
              <w:rPr>
                <w:rFonts w:ascii="华文楷体" w:eastAsia="华文楷体" w:hAnsi="华文楷体" w:cs="宋体"/>
                <w:b/>
                <w:bCs/>
                <w:color w:val="000000"/>
                <w:kern w:val="0"/>
              </w:rPr>
              <w:t>366.37</w:t>
            </w:r>
          </w:p>
        </w:tc>
        <w:tc>
          <w:tcPr>
            <w:tcW w:w="1080" w:type="dxa"/>
            <w:vAlign w:val="center"/>
          </w:tcPr>
          <w:p w14:paraId="0C365F82" w14:textId="77777777" w:rsidR="00ED5EBF" w:rsidRDefault="00ED5EBF">
            <w:pPr>
              <w:widowControl/>
              <w:jc w:val="center"/>
              <w:rPr>
                <w:rFonts w:ascii="华文楷体" w:eastAsia="华文楷体" w:hAnsi="华文楷体" w:cs="宋体"/>
                <w:b/>
                <w:bCs/>
                <w:color w:val="000000"/>
                <w:kern w:val="0"/>
              </w:rPr>
            </w:pPr>
          </w:p>
        </w:tc>
        <w:tc>
          <w:tcPr>
            <w:tcW w:w="1005" w:type="dxa"/>
            <w:vAlign w:val="center"/>
          </w:tcPr>
          <w:p w14:paraId="1CFAB1A1" w14:textId="77777777" w:rsidR="00ED5EBF" w:rsidRDefault="00ED5EBF">
            <w:pPr>
              <w:widowControl/>
              <w:jc w:val="center"/>
              <w:rPr>
                <w:rFonts w:ascii="华文楷体" w:eastAsia="华文楷体" w:hAnsi="华文楷体" w:cs="宋体"/>
                <w:b/>
                <w:bCs/>
                <w:color w:val="000000"/>
                <w:kern w:val="0"/>
              </w:rPr>
            </w:pPr>
          </w:p>
        </w:tc>
      </w:tr>
    </w:tbl>
    <w:p w14:paraId="56E18D4F" w14:textId="77777777" w:rsidR="00ED5EBF" w:rsidRDefault="00ED5EBF">
      <w:pPr>
        <w:spacing w:line="360" w:lineRule="auto"/>
        <w:ind w:firstLineChars="200" w:firstLine="480"/>
        <w:rPr>
          <w:rFonts w:ascii="华文楷体" w:eastAsia="华文楷体" w:hAnsi="华文楷体"/>
        </w:rPr>
      </w:pPr>
    </w:p>
    <w:p w14:paraId="25F703EA"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2.2017</w:t>
      </w:r>
      <w:r>
        <w:rPr>
          <w:rFonts w:ascii="华文楷体" w:eastAsia="华文楷体" w:hAnsi="华文楷体" w:hint="eastAsia"/>
        </w:rPr>
        <w:t>年四季度上市公司新增重大资产重组情况表</w:t>
      </w:r>
    </w:p>
    <w:p w14:paraId="105DF749" w14:textId="77777777" w:rsidR="00ED5EBF" w:rsidRDefault="00ED5EBF">
      <w:pPr>
        <w:spacing w:line="360" w:lineRule="auto"/>
        <w:ind w:firstLineChars="200" w:firstLine="480"/>
        <w:rPr>
          <w:rFonts w:ascii="华文楷体" w:eastAsia="华文楷体" w:hAnsi="华文楷体"/>
        </w:rPr>
      </w:pPr>
    </w:p>
    <w:tbl>
      <w:tblPr>
        <w:tblW w:w="8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952"/>
        <w:gridCol w:w="1843"/>
        <w:gridCol w:w="1984"/>
        <w:gridCol w:w="851"/>
        <w:gridCol w:w="992"/>
        <w:gridCol w:w="939"/>
        <w:gridCol w:w="1101"/>
      </w:tblGrid>
      <w:tr w:rsidR="00ED5EBF" w14:paraId="54288EE0" w14:textId="77777777">
        <w:trPr>
          <w:cantSplit/>
          <w:trHeight w:val="624"/>
          <w:jc w:val="center"/>
        </w:trPr>
        <w:tc>
          <w:tcPr>
            <w:tcW w:w="952" w:type="dxa"/>
            <w:vMerge w:val="restart"/>
            <w:shd w:val="clear" w:color="000000" w:fill="BFBFBF"/>
            <w:vAlign w:val="center"/>
          </w:tcPr>
          <w:p w14:paraId="7FE465BC"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公司简称</w:t>
            </w:r>
          </w:p>
        </w:tc>
        <w:tc>
          <w:tcPr>
            <w:tcW w:w="1843" w:type="dxa"/>
            <w:vMerge w:val="restart"/>
            <w:shd w:val="clear" w:color="000000" w:fill="BFBFBF"/>
            <w:vAlign w:val="center"/>
          </w:tcPr>
          <w:p w14:paraId="781FE2AB"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首次公告日</w:t>
            </w:r>
          </w:p>
        </w:tc>
        <w:tc>
          <w:tcPr>
            <w:tcW w:w="1984" w:type="dxa"/>
            <w:vMerge w:val="restart"/>
            <w:shd w:val="clear" w:color="000000" w:fill="BFBFBF"/>
            <w:vAlign w:val="center"/>
          </w:tcPr>
          <w:p w14:paraId="7A47A03F"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重组事件</w:t>
            </w:r>
          </w:p>
        </w:tc>
        <w:tc>
          <w:tcPr>
            <w:tcW w:w="851" w:type="dxa"/>
            <w:vMerge w:val="restart"/>
            <w:shd w:val="clear" w:color="000000" w:fill="BFBFBF"/>
            <w:vAlign w:val="center"/>
          </w:tcPr>
          <w:p w14:paraId="28DB80E8"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实施</w:t>
            </w:r>
          </w:p>
          <w:p w14:paraId="07ED0D0A"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进度</w:t>
            </w:r>
          </w:p>
        </w:tc>
        <w:tc>
          <w:tcPr>
            <w:tcW w:w="992" w:type="dxa"/>
            <w:vMerge w:val="restart"/>
            <w:shd w:val="clear" w:color="000000" w:fill="BFBFBF"/>
            <w:vAlign w:val="center"/>
          </w:tcPr>
          <w:p w14:paraId="2C19FA6C"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重组目的</w:t>
            </w:r>
          </w:p>
        </w:tc>
        <w:tc>
          <w:tcPr>
            <w:tcW w:w="939" w:type="dxa"/>
            <w:vMerge w:val="restart"/>
            <w:shd w:val="clear" w:color="000000" w:fill="BFBFBF"/>
            <w:vAlign w:val="center"/>
          </w:tcPr>
          <w:p w14:paraId="7BA8C724"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重组形式</w:t>
            </w:r>
          </w:p>
        </w:tc>
        <w:tc>
          <w:tcPr>
            <w:tcW w:w="1101" w:type="dxa"/>
            <w:vMerge w:val="restart"/>
            <w:shd w:val="clear" w:color="000000" w:fill="BFBFBF"/>
            <w:vAlign w:val="center"/>
          </w:tcPr>
          <w:p w14:paraId="14EC9BFA"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交易总价值</w:t>
            </w:r>
            <w:r>
              <w:rPr>
                <w:rFonts w:ascii="华文楷体" w:eastAsia="华文楷体" w:hAnsi="华文楷体" w:cs="宋体" w:hint="eastAsia"/>
                <w:b/>
                <w:bCs/>
                <w:kern w:val="0"/>
              </w:rPr>
              <w:t>(</w:t>
            </w:r>
            <w:r>
              <w:rPr>
                <w:rFonts w:ascii="华文楷体" w:eastAsia="华文楷体" w:hAnsi="华文楷体" w:cs="宋体" w:hint="eastAsia"/>
                <w:b/>
                <w:bCs/>
                <w:kern w:val="0"/>
              </w:rPr>
              <w:t>亿元</w:t>
            </w:r>
            <w:r>
              <w:rPr>
                <w:rFonts w:ascii="华文楷体" w:eastAsia="华文楷体" w:hAnsi="华文楷体" w:cs="宋体" w:hint="eastAsia"/>
                <w:b/>
                <w:bCs/>
                <w:kern w:val="0"/>
              </w:rPr>
              <w:t>)</w:t>
            </w:r>
          </w:p>
        </w:tc>
      </w:tr>
      <w:tr w:rsidR="00ED5EBF" w14:paraId="4D382B4B" w14:textId="77777777">
        <w:trPr>
          <w:cantSplit/>
          <w:trHeight w:val="624"/>
          <w:jc w:val="center"/>
        </w:trPr>
        <w:tc>
          <w:tcPr>
            <w:tcW w:w="952" w:type="dxa"/>
            <w:vMerge/>
            <w:vAlign w:val="center"/>
          </w:tcPr>
          <w:p w14:paraId="32FE0509" w14:textId="77777777" w:rsidR="00ED5EBF" w:rsidRDefault="00ED5EBF">
            <w:pPr>
              <w:widowControl/>
              <w:jc w:val="left"/>
              <w:rPr>
                <w:rFonts w:ascii="华文楷体" w:eastAsia="华文楷体" w:hAnsi="华文楷体" w:cs="宋体"/>
                <w:b/>
                <w:bCs/>
                <w:kern w:val="0"/>
              </w:rPr>
            </w:pPr>
          </w:p>
        </w:tc>
        <w:tc>
          <w:tcPr>
            <w:tcW w:w="1843" w:type="dxa"/>
            <w:vMerge/>
            <w:vAlign w:val="center"/>
          </w:tcPr>
          <w:p w14:paraId="5614060E" w14:textId="77777777" w:rsidR="00ED5EBF" w:rsidRDefault="00ED5EBF">
            <w:pPr>
              <w:widowControl/>
              <w:jc w:val="left"/>
              <w:rPr>
                <w:rFonts w:ascii="华文楷体" w:eastAsia="华文楷体" w:hAnsi="华文楷体" w:cs="宋体"/>
                <w:b/>
                <w:bCs/>
                <w:kern w:val="0"/>
              </w:rPr>
            </w:pPr>
          </w:p>
        </w:tc>
        <w:tc>
          <w:tcPr>
            <w:tcW w:w="1984" w:type="dxa"/>
            <w:vMerge/>
            <w:vAlign w:val="center"/>
          </w:tcPr>
          <w:p w14:paraId="5939347B" w14:textId="77777777" w:rsidR="00ED5EBF" w:rsidRDefault="00ED5EBF">
            <w:pPr>
              <w:widowControl/>
              <w:jc w:val="left"/>
              <w:rPr>
                <w:rFonts w:ascii="华文楷体" w:eastAsia="华文楷体" w:hAnsi="华文楷体" w:cs="宋体"/>
                <w:b/>
                <w:bCs/>
                <w:kern w:val="0"/>
              </w:rPr>
            </w:pPr>
          </w:p>
        </w:tc>
        <w:tc>
          <w:tcPr>
            <w:tcW w:w="851" w:type="dxa"/>
            <w:vMerge/>
            <w:vAlign w:val="center"/>
          </w:tcPr>
          <w:p w14:paraId="029F3405" w14:textId="77777777" w:rsidR="00ED5EBF" w:rsidRDefault="00ED5EBF">
            <w:pPr>
              <w:widowControl/>
              <w:jc w:val="left"/>
              <w:rPr>
                <w:rFonts w:ascii="华文楷体" w:eastAsia="华文楷体" w:hAnsi="华文楷体" w:cs="宋体"/>
                <w:b/>
                <w:bCs/>
                <w:kern w:val="0"/>
              </w:rPr>
            </w:pPr>
          </w:p>
        </w:tc>
        <w:tc>
          <w:tcPr>
            <w:tcW w:w="992" w:type="dxa"/>
            <w:vMerge/>
            <w:vAlign w:val="center"/>
          </w:tcPr>
          <w:p w14:paraId="309B556C" w14:textId="77777777" w:rsidR="00ED5EBF" w:rsidRDefault="00ED5EBF">
            <w:pPr>
              <w:widowControl/>
              <w:jc w:val="left"/>
              <w:rPr>
                <w:rFonts w:ascii="华文楷体" w:eastAsia="华文楷体" w:hAnsi="华文楷体" w:cs="宋体"/>
                <w:b/>
                <w:bCs/>
                <w:kern w:val="0"/>
              </w:rPr>
            </w:pPr>
          </w:p>
        </w:tc>
        <w:tc>
          <w:tcPr>
            <w:tcW w:w="939" w:type="dxa"/>
            <w:vMerge/>
            <w:vAlign w:val="center"/>
          </w:tcPr>
          <w:p w14:paraId="5228CD27" w14:textId="77777777" w:rsidR="00ED5EBF" w:rsidRDefault="00ED5EBF">
            <w:pPr>
              <w:widowControl/>
              <w:jc w:val="left"/>
              <w:rPr>
                <w:rFonts w:ascii="华文楷体" w:eastAsia="华文楷体" w:hAnsi="华文楷体" w:cs="宋体"/>
                <w:b/>
                <w:bCs/>
                <w:kern w:val="0"/>
              </w:rPr>
            </w:pPr>
          </w:p>
        </w:tc>
        <w:tc>
          <w:tcPr>
            <w:tcW w:w="1101" w:type="dxa"/>
            <w:vMerge/>
            <w:vAlign w:val="center"/>
          </w:tcPr>
          <w:p w14:paraId="02533580" w14:textId="77777777" w:rsidR="00ED5EBF" w:rsidRDefault="00ED5EBF">
            <w:pPr>
              <w:widowControl/>
              <w:jc w:val="left"/>
              <w:rPr>
                <w:rFonts w:ascii="华文楷体" w:eastAsia="华文楷体" w:hAnsi="华文楷体" w:cs="宋体"/>
                <w:b/>
                <w:bCs/>
                <w:kern w:val="0"/>
              </w:rPr>
            </w:pPr>
          </w:p>
        </w:tc>
      </w:tr>
      <w:tr w:rsidR="00ED5EBF" w14:paraId="3D560989" w14:textId="77777777">
        <w:trPr>
          <w:cantSplit/>
          <w:trHeight w:val="555"/>
          <w:jc w:val="center"/>
        </w:trPr>
        <w:tc>
          <w:tcPr>
            <w:tcW w:w="952" w:type="dxa"/>
            <w:vAlign w:val="center"/>
          </w:tcPr>
          <w:p w14:paraId="7EE1B423"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汇冠股份</w:t>
            </w:r>
          </w:p>
        </w:tc>
        <w:tc>
          <w:tcPr>
            <w:tcW w:w="1843" w:type="dxa"/>
            <w:vAlign w:val="center"/>
          </w:tcPr>
          <w:p w14:paraId="33C89608" w14:textId="77777777" w:rsidR="00ED5EBF" w:rsidRDefault="002034C8">
            <w:pPr>
              <w:jc w:val="center"/>
              <w:rPr>
                <w:rFonts w:ascii="华文楷体" w:eastAsia="华文楷体" w:hAnsi="华文楷体" w:cs="宋体"/>
                <w:color w:val="000000"/>
              </w:rPr>
            </w:pPr>
            <w:r>
              <w:rPr>
                <w:rFonts w:ascii="华文楷体" w:eastAsia="华文楷体" w:hAnsi="华文楷体" w:cs="Times New Roman" w:hint="eastAsia"/>
                <w:color w:val="000000"/>
              </w:rPr>
              <w:t>2017</w:t>
            </w:r>
            <w:r>
              <w:rPr>
                <w:rFonts w:ascii="华文楷体" w:eastAsia="华文楷体" w:hAnsi="华文楷体" w:cs="Times New Roman" w:hint="eastAsia"/>
                <w:color w:val="000000"/>
              </w:rPr>
              <w:t>年</w:t>
            </w:r>
            <w:r>
              <w:rPr>
                <w:rFonts w:ascii="华文楷体" w:eastAsia="华文楷体" w:hAnsi="华文楷体" w:cs="Times New Roman" w:hint="eastAsia"/>
                <w:color w:val="000000"/>
              </w:rPr>
              <w:t>11</w:t>
            </w:r>
            <w:r>
              <w:rPr>
                <w:rFonts w:ascii="华文楷体" w:eastAsia="华文楷体" w:hAnsi="华文楷体" w:cs="Times New Roman" w:hint="eastAsia"/>
                <w:color w:val="000000"/>
              </w:rPr>
              <w:t>月</w:t>
            </w:r>
            <w:r>
              <w:rPr>
                <w:rFonts w:ascii="华文楷体" w:eastAsia="华文楷体" w:hAnsi="华文楷体" w:cs="Times New Roman" w:hint="eastAsia"/>
                <w:color w:val="000000"/>
              </w:rPr>
              <w:t>4</w:t>
            </w:r>
            <w:r>
              <w:rPr>
                <w:rFonts w:ascii="华文楷体" w:eastAsia="华文楷体" w:hAnsi="华文楷体" w:cs="Times New Roman" w:hint="eastAsia"/>
                <w:color w:val="000000"/>
              </w:rPr>
              <w:t>日</w:t>
            </w:r>
          </w:p>
        </w:tc>
        <w:tc>
          <w:tcPr>
            <w:tcW w:w="1984" w:type="dxa"/>
            <w:vAlign w:val="center"/>
          </w:tcPr>
          <w:p w14:paraId="3130795D" w14:textId="77777777" w:rsidR="00ED5EBF" w:rsidRDefault="002034C8">
            <w:pPr>
              <w:rPr>
                <w:rFonts w:ascii="华文楷体" w:eastAsia="华文楷体" w:hAnsi="华文楷体" w:cs="Times New Roman"/>
              </w:rPr>
            </w:pPr>
            <w:r>
              <w:rPr>
                <w:rFonts w:ascii="华文楷体" w:eastAsia="华文楷体" w:hAnsi="华文楷体" w:cs="Times New Roman" w:hint="eastAsia"/>
              </w:rPr>
              <w:t>汇冠股份出售旺鑫精密</w:t>
            </w:r>
            <w:r>
              <w:rPr>
                <w:rFonts w:ascii="华文楷体" w:eastAsia="华文楷体" w:hAnsi="华文楷体" w:cs="Times New Roman" w:hint="eastAsia"/>
              </w:rPr>
              <w:t>92%</w:t>
            </w:r>
            <w:r>
              <w:rPr>
                <w:rFonts w:ascii="华文楷体" w:eastAsia="华文楷体" w:hAnsi="华文楷体" w:cs="Times New Roman" w:hint="eastAsia"/>
              </w:rPr>
              <w:t>股权</w:t>
            </w:r>
          </w:p>
        </w:tc>
        <w:tc>
          <w:tcPr>
            <w:tcW w:w="851" w:type="dxa"/>
            <w:vAlign w:val="center"/>
          </w:tcPr>
          <w:p w14:paraId="2BACB110" w14:textId="77777777" w:rsidR="00ED5EBF" w:rsidRDefault="002034C8">
            <w:pPr>
              <w:widowControl/>
              <w:jc w:val="center"/>
              <w:rPr>
                <w:rFonts w:ascii="华文楷体" w:eastAsia="华文楷体" w:hAnsi="华文楷体" w:cs="宋体"/>
                <w:kern w:val="0"/>
              </w:rPr>
            </w:pPr>
            <w:r>
              <w:rPr>
                <w:rFonts w:ascii="华文楷体" w:eastAsia="华文楷体" w:hAnsi="华文楷体" w:cs="宋体" w:hint="eastAsia"/>
                <w:kern w:val="0"/>
              </w:rPr>
              <w:t>完成</w:t>
            </w:r>
          </w:p>
        </w:tc>
        <w:tc>
          <w:tcPr>
            <w:tcW w:w="992" w:type="dxa"/>
            <w:vAlign w:val="center"/>
          </w:tcPr>
          <w:p w14:paraId="1B118935" w14:textId="77777777" w:rsidR="00ED5EBF" w:rsidRDefault="002034C8">
            <w:pPr>
              <w:jc w:val="center"/>
              <w:rPr>
                <w:rFonts w:ascii="华文楷体" w:eastAsia="华文楷体" w:hAnsi="华文楷体" w:cs="宋体"/>
                <w:color w:val="000000"/>
              </w:rPr>
            </w:pPr>
            <w:r>
              <w:rPr>
                <w:rFonts w:ascii="华文楷体" w:eastAsia="华文楷体" w:hAnsi="华文楷体" w:cs="Times New Roman" w:hint="eastAsia"/>
                <w:color w:val="000000"/>
              </w:rPr>
              <w:t>资产调整</w:t>
            </w:r>
          </w:p>
        </w:tc>
        <w:tc>
          <w:tcPr>
            <w:tcW w:w="939" w:type="dxa"/>
            <w:vAlign w:val="center"/>
          </w:tcPr>
          <w:p w14:paraId="0AC97A4B" w14:textId="77777777" w:rsidR="00ED5EBF" w:rsidRDefault="002034C8">
            <w:pPr>
              <w:jc w:val="center"/>
              <w:rPr>
                <w:rFonts w:ascii="华文楷体" w:eastAsia="华文楷体" w:hAnsi="华文楷体" w:cs="宋体"/>
                <w:color w:val="000000"/>
              </w:rPr>
            </w:pPr>
            <w:r>
              <w:rPr>
                <w:rFonts w:ascii="华文楷体" w:eastAsia="华文楷体" w:hAnsi="华文楷体" w:cs="Times New Roman" w:hint="eastAsia"/>
                <w:color w:val="000000"/>
              </w:rPr>
              <w:t>协议收购</w:t>
            </w:r>
          </w:p>
        </w:tc>
        <w:tc>
          <w:tcPr>
            <w:tcW w:w="1101" w:type="dxa"/>
            <w:vAlign w:val="center"/>
          </w:tcPr>
          <w:p w14:paraId="6E654006"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9.40</w:t>
            </w:r>
          </w:p>
        </w:tc>
      </w:tr>
      <w:tr w:rsidR="00ED5EBF" w14:paraId="5A1759BD" w14:textId="77777777">
        <w:trPr>
          <w:cantSplit/>
          <w:trHeight w:val="555"/>
          <w:jc w:val="center"/>
        </w:trPr>
        <w:tc>
          <w:tcPr>
            <w:tcW w:w="952" w:type="dxa"/>
            <w:vAlign w:val="center"/>
          </w:tcPr>
          <w:p w14:paraId="28B8A137"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千方科技</w:t>
            </w:r>
          </w:p>
        </w:tc>
        <w:tc>
          <w:tcPr>
            <w:tcW w:w="1843" w:type="dxa"/>
            <w:vAlign w:val="center"/>
          </w:tcPr>
          <w:p w14:paraId="4E0D89A8" w14:textId="77777777" w:rsidR="00ED5EBF" w:rsidRDefault="002034C8">
            <w:pPr>
              <w:jc w:val="center"/>
              <w:rPr>
                <w:rFonts w:ascii="华文楷体" w:eastAsia="华文楷体" w:hAnsi="华文楷体" w:cs="宋体"/>
                <w:color w:val="000000"/>
              </w:rPr>
            </w:pPr>
            <w:r>
              <w:rPr>
                <w:rFonts w:ascii="华文楷体" w:eastAsia="华文楷体" w:hAnsi="华文楷体" w:cs="Times New Roman" w:hint="eastAsia"/>
                <w:color w:val="000000"/>
              </w:rPr>
              <w:t>2017</w:t>
            </w:r>
            <w:r>
              <w:rPr>
                <w:rFonts w:ascii="华文楷体" w:eastAsia="华文楷体" w:hAnsi="华文楷体" w:cs="Times New Roman" w:hint="eastAsia"/>
                <w:color w:val="000000"/>
              </w:rPr>
              <w:t>年</w:t>
            </w:r>
            <w:r>
              <w:rPr>
                <w:rFonts w:ascii="华文楷体" w:eastAsia="华文楷体" w:hAnsi="华文楷体" w:cs="Times New Roman" w:hint="eastAsia"/>
                <w:color w:val="000000"/>
              </w:rPr>
              <w:t>11</w:t>
            </w:r>
            <w:r>
              <w:rPr>
                <w:rFonts w:ascii="华文楷体" w:eastAsia="华文楷体" w:hAnsi="华文楷体" w:cs="Times New Roman" w:hint="eastAsia"/>
                <w:color w:val="000000"/>
              </w:rPr>
              <w:t>月</w:t>
            </w:r>
            <w:r>
              <w:rPr>
                <w:rFonts w:ascii="华文楷体" w:eastAsia="华文楷体" w:hAnsi="华文楷体" w:cs="Times New Roman" w:hint="eastAsia"/>
                <w:color w:val="000000"/>
              </w:rPr>
              <w:t>8</w:t>
            </w:r>
            <w:r>
              <w:rPr>
                <w:rFonts w:ascii="华文楷体" w:eastAsia="华文楷体" w:hAnsi="华文楷体" w:cs="Times New Roman" w:hint="eastAsia"/>
                <w:color w:val="000000"/>
              </w:rPr>
              <w:t>日</w:t>
            </w:r>
          </w:p>
        </w:tc>
        <w:tc>
          <w:tcPr>
            <w:tcW w:w="1984" w:type="dxa"/>
            <w:vAlign w:val="center"/>
          </w:tcPr>
          <w:p w14:paraId="7866C13A" w14:textId="77777777" w:rsidR="00ED5EBF" w:rsidRDefault="002034C8">
            <w:pPr>
              <w:rPr>
                <w:rFonts w:ascii="华文楷体" w:eastAsia="华文楷体" w:hAnsi="华文楷体" w:cs="Times New Roman"/>
              </w:rPr>
            </w:pPr>
            <w:r>
              <w:rPr>
                <w:rFonts w:ascii="华文楷体" w:eastAsia="华文楷体" w:hAnsi="华文楷体" w:cs="Times New Roman" w:hint="eastAsia"/>
              </w:rPr>
              <w:t>千方科技定增收购交智科技</w:t>
            </w:r>
            <w:r>
              <w:rPr>
                <w:rFonts w:ascii="华文楷体" w:eastAsia="华文楷体" w:hAnsi="华文楷体" w:cs="Times New Roman" w:hint="eastAsia"/>
              </w:rPr>
              <w:t>92.0435%</w:t>
            </w:r>
            <w:r>
              <w:rPr>
                <w:rFonts w:ascii="华文楷体" w:eastAsia="华文楷体" w:hAnsi="华文楷体" w:cs="Times New Roman" w:hint="eastAsia"/>
              </w:rPr>
              <w:t>股权控制宇视科技</w:t>
            </w:r>
          </w:p>
        </w:tc>
        <w:tc>
          <w:tcPr>
            <w:tcW w:w="851" w:type="dxa"/>
            <w:vAlign w:val="center"/>
          </w:tcPr>
          <w:p w14:paraId="190FCE0D" w14:textId="77777777" w:rsidR="00ED5EBF" w:rsidRDefault="002034C8">
            <w:pPr>
              <w:widowControl/>
              <w:jc w:val="center"/>
              <w:rPr>
                <w:rFonts w:ascii="华文楷体" w:eastAsia="华文楷体" w:hAnsi="华文楷体" w:cs="宋体"/>
                <w:kern w:val="0"/>
              </w:rPr>
            </w:pPr>
            <w:r>
              <w:rPr>
                <w:rFonts w:ascii="华文楷体" w:eastAsia="华文楷体" w:hAnsi="华文楷体" w:cs="宋体" w:hint="eastAsia"/>
                <w:kern w:val="0"/>
              </w:rPr>
              <w:t>股东大会通过</w:t>
            </w:r>
          </w:p>
        </w:tc>
        <w:tc>
          <w:tcPr>
            <w:tcW w:w="992" w:type="dxa"/>
            <w:vAlign w:val="center"/>
          </w:tcPr>
          <w:p w14:paraId="0E60857E" w14:textId="77777777" w:rsidR="00ED5EBF" w:rsidRDefault="002034C8">
            <w:pPr>
              <w:jc w:val="center"/>
              <w:rPr>
                <w:rFonts w:ascii="华文楷体" w:eastAsia="华文楷体" w:hAnsi="华文楷体" w:cs="宋体"/>
                <w:color w:val="000000"/>
              </w:rPr>
            </w:pPr>
            <w:r>
              <w:rPr>
                <w:rFonts w:ascii="华文楷体" w:eastAsia="华文楷体" w:hAnsi="华文楷体" w:cs="Times New Roman" w:hint="eastAsia"/>
                <w:color w:val="000000"/>
              </w:rPr>
              <w:t>横向整合</w:t>
            </w:r>
          </w:p>
        </w:tc>
        <w:tc>
          <w:tcPr>
            <w:tcW w:w="939" w:type="dxa"/>
            <w:vAlign w:val="center"/>
          </w:tcPr>
          <w:p w14:paraId="27EDF22A" w14:textId="77777777" w:rsidR="00ED5EBF" w:rsidRDefault="002034C8">
            <w:pPr>
              <w:jc w:val="center"/>
              <w:rPr>
                <w:rFonts w:ascii="华文楷体" w:eastAsia="华文楷体" w:hAnsi="华文楷体" w:cs="宋体"/>
                <w:color w:val="000000"/>
              </w:rPr>
            </w:pPr>
            <w:r>
              <w:rPr>
                <w:rFonts w:ascii="华文楷体" w:eastAsia="华文楷体" w:hAnsi="华文楷体" w:cs="Times New Roman" w:hint="eastAsia"/>
                <w:color w:val="000000"/>
              </w:rPr>
              <w:t>发行股份购买资产</w:t>
            </w:r>
          </w:p>
        </w:tc>
        <w:tc>
          <w:tcPr>
            <w:tcW w:w="1101" w:type="dxa"/>
            <w:vAlign w:val="center"/>
          </w:tcPr>
          <w:p w14:paraId="6E70025B"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43.37</w:t>
            </w:r>
          </w:p>
        </w:tc>
      </w:tr>
      <w:tr w:rsidR="00ED5EBF" w14:paraId="644A9A6E" w14:textId="77777777">
        <w:trPr>
          <w:cantSplit/>
          <w:trHeight w:val="825"/>
          <w:jc w:val="center"/>
        </w:trPr>
        <w:tc>
          <w:tcPr>
            <w:tcW w:w="952" w:type="dxa"/>
            <w:vAlign w:val="center"/>
          </w:tcPr>
          <w:p w14:paraId="4CDA8B17"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三联虹普</w:t>
            </w:r>
          </w:p>
        </w:tc>
        <w:tc>
          <w:tcPr>
            <w:tcW w:w="1843" w:type="dxa"/>
            <w:vAlign w:val="center"/>
          </w:tcPr>
          <w:p w14:paraId="7716CC9D" w14:textId="77777777" w:rsidR="00ED5EBF" w:rsidRDefault="002034C8">
            <w:pPr>
              <w:jc w:val="center"/>
              <w:rPr>
                <w:rFonts w:ascii="华文楷体" w:eastAsia="华文楷体" w:hAnsi="华文楷体" w:cs="宋体"/>
                <w:color w:val="000000"/>
              </w:rPr>
            </w:pPr>
            <w:r>
              <w:rPr>
                <w:rFonts w:ascii="华文楷体" w:eastAsia="华文楷体" w:hAnsi="华文楷体" w:cs="Times New Roman" w:hint="eastAsia"/>
                <w:color w:val="000000"/>
              </w:rPr>
              <w:t>2017</w:t>
            </w:r>
            <w:r>
              <w:rPr>
                <w:rFonts w:ascii="华文楷体" w:eastAsia="华文楷体" w:hAnsi="华文楷体" w:cs="Times New Roman" w:hint="eastAsia"/>
                <w:color w:val="000000"/>
              </w:rPr>
              <w:t>年</w:t>
            </w:r>
            <w:r>
              <w:rPr>
                <w:rFonts w:ascii="华文楷体" w:eastAsia="华文楷体" w:hAnsi="华文楷体" w:cs="Times New Roman" w:hint="eastAsia"/>
                <w:color w:val="000000"/>
              </w:rPr>
              <w:t>11</w:t>
            </w:r>
            <w:r>
              <w:rPr>
                <w:rFonts w:ascii="华文楷体" w:eastAsia="华文楷体" w:hAnsi="华文楷体" w:cs="Times New Roman" w:hint="eastAsia"/>
                <w:color w:val="000000"/>
              </w:rPr>
              <w:t>月</w:t>
            </w:r>
            <w:r>
              <w:rPr>
                <w:rFonts w:ascii="华文楷体" w:eastAsia="华文楷体" w:hAnsi="华文楷体" w:cs="Times New Roman" w:hint="eastAsia"/>
                <w:color w:val="000000"/>
              </w:rPr>
              <w:t>11</w:t>
            </w:r>
            <w:r>
              <w:rPr>
                <w:rFonts w:ascii="华文楷体" w:eastAsia="华文楷体" w:hAnsi="华文楷体" w:cs="Times New Roman" w:hint="eastAsia"/>
                <w:color w:val="000000"/>
              </w:rPr>
              <w:t>日</w:t>
            </w:r>
          </w:p>
        </w:tc>
        <w:tc>
          <w:tcPr>
            <w:tcW w:w="1984" w:type="dxa"/>
            <w:vAlign w:val="center"/>
          </w:tcPr>
          <w:p w14:paraId="40B4AC61" w14:textId="77777777" w:rsidR="00ED5EBF" w:rsidRDefault="002034C8">
            <w:pPr>
              <w:rPr>
                <w:rFonts w:ascii="华文楷体" w:eastAsia="华文楷体" w:hAnsi="华文楷体" w:cs="Times New Roman"/>
              </w:rPr>
            </w:pPr>
            <w:r>
              <w:rPr>
                <w:rFonts w:ascii="华文楷体" w:eastAsia="华文楷体" w:hAnsi="华文楷体" w:cs="Times New Roman" w:hint="eastAsia"/>
              </w:rPr>
              <w:t>三联虹普收购</w:t>
            </w:r>
            <w:r>
              <w:rPr>
                <w:rFonts w:ascii="华文楷体" w:eastAsia="华文楷体" w:hAnsi="华文楷体" w:cs="Times New Roman" w:hint="eastAsia"/>
              </w:rPr>
              <w:t>Polymetrix Holding 80%</w:t>
            </w:r>
            <w:r>
              <w:rPr>
                <w:rFonts w:ascii="华文楷体" w:eastAsia="华文楷体" w:hAnsi="华文楷体" w:cs="Times New Roman" w:hint="eastAsia"/>
              </w:rPr>
              <w:t>股权</w:t>
            </w:r>
          </w:p>
        </w:tc>
        <w:tc>
          <w:tcPr>
            <w:tcW w:w="851" w:type="dxa"/>
            <w:vAlign w:val="center"/>
          </w:tcPr>
          <w:p w14:paraId="6E45DD20" w14:textId="77777777" w:rsidR="00ED5EBF" w:rsidRDefault="002034C8">
            <w:pPr>
              <w:widowControl/>
              <w:jc w:val="center"/>
              <w:rPr>
                <w:rFonts w:ascii="华文楷体" w:eastAsia="华文楷体" w:hAnsi="华文楷体" w:cs="宋体"/>
                <w:kern w:val="0"/>
              </w:rPr>
            </w:pPr>
            <w:r>
              <w:rPr>
                <w:rFonts w:ascii="华文楷体" w:eastAsia="华文楷体" w:hAnsi="华文楷体" w:cs="宋体" w:hint="eastAsia"/>
                <w:kern w:val="0"/>
              </w:rPr>
              <w:t>董事会预案</w:t>
            </w:r>
          </w:p>
        </w:tc>
        <w:tc>
          <w:tcPr>
            <w:tcW w:w="992" w:type="dxa"/>
            <w:vAlign w:val="center"/>
          </w:tcPr>
          <w:p w14:paraId="0941174E" w14:textId="77777777" w:rsidR="00ED5EBF" w:rsidRDefault="002034C8">
            <w:pPr>
              <w:jc w:val="center"/>
              <w:rPr>
                <w:rFonts w:ascii="华文楷体" w:eastAsia="华文楷体" w:hAnsi="华文楷体" w:cs="宋体"/>
                <w:color w:val="000000"/>
              </w:rPr>
            </w:pPr>
            <w:r>
              <w:rPr>
                <w:rFonts w:ascii="华文楷体" w:eastAsia="华文楷体" w:hAnsi="华文楷体" w:cs="Times New Roman" w:hint="eastAsia"/>
                <w:color w:val="000000"/>
              </w:rPr>
              <w:t>横向整合</w:t>
            </w:r>
          </w:p>
        </w:tc>
        <w:tc>
          <w:tcPr>
            <w:tcW w:w="939" w:type="dxa"/>
            <w:vAlign w:val="center"/>
          </w:tcPr>
          <w:p w14:paraId="2127B66C" w14:textId="77777777" w:rsidR="00ED5EBF" w:rsidRDefault="002034C8">
            <w:pPr>
              <w:jc w:val="center"/>
              <w:rPr>
                <w:rFonts w:ascii="华文楷体" w:eastAsia="华文楷体" w:hAnsi="华文楷体" w:cs="宋体"/>
                <w:color w:val="000000"/>
              </w:rPr>
            </w:pPr>
            <w:r>
              <w:rPr>
                <w:rFonts w:ascii="华文楷体" w:eastAsia="华文楷体" w:hAnsi="华文楷体" w:cs="Times New Roman" w:hint="eastAsia"/>
                <w:color w:val="000000"/>
              </w:rPr>
              <w:t>协议收购</w:t>
            </w:r>
          </w:p>
        </w:tc>
        <w:tc>
          <w:tcPr>
            <w:tcW w:w="1101" w:type="dxa"/>
            <w:vAlign w:val="center"/>
          </w:tcPr>
          <w:p w14:paraId="0B8E11B9"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1.46</w:t>
            </w:r>
          </w:p>
        </w:tc>
      </w:tr>
      <w:tr w:rsidR="00ED5EBF" w14:paraId="05190D77" w14:textId="77777777">
        <w:trPr>
          <w:cantSplit/>
          <w:trHeight w:val="555"/>
          <w:jc w:val="center"/>
        </w:trPr>
        <w:tc>
          <w:tcPr>
            <w:tcW w:w="952" w:type="dxa"/>
            <w:vAlign w:val="center"/>
          </w:tcPr>
          <w:p w14:paraId="1D135EF5"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天坛生物</w:t>
            </w:r>
          </w:p>
        </w:tc>
        <w:tc>
          <w:tcPr>
            <w:tcW w:w="1843" w:type="dxa"/>
            <w:vAlign w:val="center"/>
          </w:tcPr>
          <w:p w14:paraId="0B2E8D30" w14:textId="77777777" w:rsidR="00ED5EBF" w:rsidRDefault="002034C8">
            <w:pPr>
              <w:jc w:val="center"/>
              <w:rPr>
                <w:rFonts w:ascii="华文楷体" w:eastAsia="华文楷体" w:hAnsi="华文楷体" w:cs="宋体"/>
                <w:color w:val="000000"/>
              </w:rPr>
            </w:pPr>
            <w:r>
              <w:rPr>
                <w:rFonts w:ascii="华文楷体" w:eastAsia="华文楷体" w:hAnsi="华文楷体" w:cs="Times New Roman" w:hint="eastAsia"/>
                <w:color w:val="000000"/>
              </w:rPr>
              <w:t>2017</w:t>
            </w:r>
            <w:r>
              <w:rPr>
                <w:rFonts w:ascii="华文楷体" w:eastAsia="华文楷体" w:hAnsi="华文楷体" w:cs="Times New Roman" w:hint="eastAsia"/>
                <w:color w:val="000000"/>
              </w:rPr>
              <w:t>年</w:t>
            </w:r>
            <w:r>
              <w:rPr>
                <w:rFonts w:ascii="华文楷体" w:eastAsia="华文楷体" w:hAnsi="华文楷体" w:cs="Times New Roman" w:hint="eastAsia"/>
                <w:color w:val="000000"/>
              </w:rPr>
              <w:t>12</w:t>
            </w:r>
            <w:r>
              <w:rPr>
                <w:rFonts w:ascii="华文楷体" w:eastAsia="华文楷体" w:hAnsi="华文楷体" w:cs="Times New Roman" w:hint="eastAsia"/>
                <w:color w:val="000000"/>
              </w:rPr>
              <w:t>月</w:t>
            </w:r>
            <w:r>
              <w:rPr>
                <w:rFonts w:ascii="华文楷体" w:eastAsia="华文楷体" w:hAnsi="华文楷体" w:cs="Times New Roman" w:hint="eastAsia"/>
                <w:color w:val="000000"/>
              </w:rPr>
              <w:t>2</w:t>
            </w:r>
            <w:r>
              <w:rPr>
                <w:rFonts w:ascii="华文楷体" w:eastAsia="华文楷体" w:hAnsi="华文楷体" w:cs="Times New Roman" w:hint="eastAsia"/>
                <w:color w:val="000000"/>
              </w:rPr>
              <w:t>日</w:t>
            </w:r>
          </w:p>
        </w:tc>
        <w:tc>
          <w:tcPr>
            <w:tcW w:w="1984" w:type="dxa"/>
            <w:vAlign w:val="center"/>
          </w:tcPr>
          <w:p w14:paraId="13EB160C" w14:textId="77777777" w:rsidR="00ED5EBF" w:rsidRDefault="002034C8">
            <w:pPr>
              <w:rPr>
                <w:rFonts w:ascii="华文楷体" w:eastAsia="华文楷体" w:hAnsi="华文楷体" w:cs="Times New Roman"/>
              </w:rPr>
            </w:pPr>
            <w:r>
              <w:rPr>
                <w:rFonts w:ascii="华文楷体" w:eastAsia="华文楷体" w:hAnsi="华文楷体" w:cs="Times New Roman" w:hint="eastAsia"/>
              </w:rPr>
              <w:t>天坛生物收购四家公司股权</w:t>
            </w:r>
          </w:p>
        </w:tc>
        <w:tc>
          <w:tcPr>
            <w:tcW w:w="851" w:type="dxa"/>
            <w:vAlign w:val="center"/>
          </w:tcPr>
          <w:p w14:paraId="3CB99942" w14:textId="77777777" w:rsidR="00ED5EBF" w:rsidRDefault="002034C8">
            <w:pPr>
              <w:widowControl/>
              <w:jc w:val="center"/>
              <w:rPr>
                <w:rFonts w:ascii="华文楷体" w:eastAsia="华文楷体" w:hAnsi="华文楷体" w:cs="宋体"/>
                <w:kern w:val="0"/>
              </w:rPr>
            </w:pPr>
            <w:r>
              <w:rPr>
                <w:rFonts w:ascii="华文楷体" w:eastAsia="华文楷体" w:hAnsi="华文楷体" w:cs="宋体" w:hint="eastAsia"/>
                <w:kern w:val="0"/>
              </w:rPr>
              <w:t>国资委批准</w:t>
            </w:r>
          </w:p>
        </w:tc>
        <w:tc>
          <w:tcPr>
            <w:tcW w:w="992" w:type="dxa"/>
            <w:vAlign w:val="center"/>
          </w:tcPr>
          <w:p w14:paraId="37395D15" w14:textId="77777777" w:rsidR="00ED5EBF" w:rsidRDefault="002034C8">
            <w:pPr>
              <w:jc w:val="center"/>
              <w:rPr>
                <w:rFonts w:ascii="华文楷体" w:eastAsia="华文楷体" w:hAnsi="华文楷体" w:cs="宋体"/>
                <w:color w:val="000000"/>
              </w:rPr>
            </w:pPr>
            <w:r>
              <w:rPr>
                <w:rFonts w:ascii="华文楷体" w:eastAsia="华文楷体" w:hAnsi="华文楷体" w:cs="Times New Roman" w:hint="eastAsia"/>
                <w:color w:val="000000"/>
              </w:rPr>
              <w:t>横向整合</w:t>
            </w:r>
          </w:p>
        </w:tc>
        <w:tc>
          <w:tcPr>
            <w:tcW w:w="939" w:type="dxa"/>
            <w:vAlign w:val="center"/>
          </w:tcPr>
          <w:p w14:paraId="2EB4BBE2" w14:textId="77777777" w:rsidR="00ED5EBF" w:rsidRDefault="002034C8">
            <w:pPr>
              <w:jc w:val="center"/>
              <w:rPr>
                <w:rFonts w:ascii="华文楷体" w:eastAsia="华文楷体" w:hAnsi="华文楷体" w:cs="宋体"/>
                <w:color w:val="000000"/>
              </w:rPr>
            </w:pPr>
            <w:r>
              <w:rPr>
                <w:rFonts w:ascii="华文楷体" w:eastAsia="华文楷体" w:hAnsi="华文楷体" w:cs="Times New Roman" w:hint="eastAsia"/>
                <w:color w:val="000000"/>
              </w:rPr>
              <w:t>资产置换</w:t>
            </w:r>
          </w:p>
        </w:tc>
        <w:tc>
          <w:tcPr>
            <w:tcW w:w="1101" w:type="dxa"/>
            <w:vAlign w:val="center"/>
          </w:tcPr>
          <w:p w14:paraId="66988AFE" w14:textId="77777777" w:rsidR="00ED5EBF" w:rsidRDefault="002034C8">
            <w:pPr>
              <w:jc w:val="center"/>
              <w:rPr>
                <w:rFonts w:ascii="华文楷体" w:eastAsia="华文楷体" w:hAnsi="华文楷体" w:cs="Times New Roman"/>
              </w:rPr>
            </w:pPr>
            <w:r>
              <w:rPr>
                <w:rFonts w:ascii="华文楷体" w:eastAsia="华文楷体" w:hAnsi="华文楷体" w:cs="Times New Roman"/>
              </w:rPr>
              <w:t>33.60</w:t>
            </w:r>
          </w:p>
        </w:tc>
      </w:tr>
    </w:tbl>
    <w:p w14:paraId="2D2643E1" w14:textId="77777777" w:rsidR="00ED5EBF" w:rsidRDefault="00ED5EBF">
      <w:pPr>
        <w:spacing w:line="360" w:lineRule="auto"/>
        <w:ind w:firstLineChars="200" w:firstLine="480"/>
        <w:rPr>
          <w:rFonts w:ascii="华文楷体" w:eastAsia="华文楷体" w:hAnsi="华文楷体"/>
        </w:rPr>
      </w:pPr>
    </w:p>
    <w:p w14:paraId="3006EAAD"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3.2017</w:t>
      </w:r>
      <w:r>
        <w:rPr>
          <w:rFonts w:ascii="华文楷体" w:eastAsia="华文楷体" w:hAnsi="华文楷体" w:hint="eastAsia"/>
        </w:rPr>
        <w:t>年四季度上市公司新增股权激励情况表</w:t>
      </w:r>
    </w:p>
    <w:p w14:paraId="1465C3D2" w14:textId="77777777" w:rsidR="00ED5EBF" w:rsidRDefault="00ED5EBF">
      <w:pPr>
        <w:spacing w:line="360" w:lineRule="auto"/>
        <w:ind w:firstLineChars="200" w:firstLine="480"/>
        <w:rPr>
          <w:rFonts w:ascii="华文楷体" w:eastAsia="华文楷体" w:hAnsi="华文楷体"/>
        </w:rPr>
      </w:pPr>
    </w:p>
    <w:tbl>
      <w:tblPr>
        <w:tblW w:w="8879" w:type="dxa"/>
        <w:jc w:val="center"/>
        <w:tblLayout w:type="fixed"/>
        <w:tblCellMar>
          <w:top w:w="15" w:type="dxa"/>
          <w:left w:w="6" w:type="dxa"/>
          <w:bottom w:w="15" w:type="dxa"/>
          <w:right w:w="6" w:type="dxa"/>
        </w:tblCellMar>
        <w:tblLook w:val="04A0" w:firstRow="1" w:lastRow="0" w:firstColumn="1" w:lastColumn="0" w:noHBand="0" w:noVBand="1"/>
      </w:tblPr>
      <w:tblGrid>
        <w:gridCol w:w="919"/>
        <w:gridCol w:w="1701"/>
        <w:gridCol w:w="656"/>
        <w:gridCol w:w="2019"/>
        <w:gridCol w:w="1308"/>
        <w:gridCol w:w="1331"/>
        <w:gridCol w:w="945"/>
      </w:tblGrid>
      <w:tr w:rsidR="00ED5EBF" w14:paraId="4F0737EA" w14:textId="77777777">
        <w:trPr>
          <w:trHeight w:val="1140"/>
          <w:jc w:val="center"/>
        </w:trPr>
        <w:tc>
          <w:tcPr>
            <w:tcW w:w="919"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1F160205"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公司简称</w:t>
            </w:r>
          </w:p>
        </w:tc>
        <w:tc>
          <w:tcPr>
            <w:tcW w:w="1701" w:type="dxa"/>
            <w:tcBorders>
              <w:top w:val="single" w:sz="4" w:space="0" w:color="000000"/>
              <w:bottom w:val="single" w:sz="4" w:space="0" w:color="000000"/>
              <w:right w:val="single" w:sz="4" w:space="0" w:color="000000"/>
            </w:tcBorders>
            <w:shd w:val="clear" w:color="auto" w:fill="C0C0C0"/>
            <w:vAlign w:val="center"/>
          </w:tcPr>
          <w:p w14:paraId="2A582C2B"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预案公告日</w:t>
            </w:r>
          </w:p>
        </w:tc>
        <w:tc>
          <w:tcPr>
            <w:tcW w:w="656" w:type="dxa"/>
            <w:tcBorders>
              <w:top w:val="single" w:sz="4" w:space="0" w:color="000000"/>
              <w:bottom w:val="single" w:sz="4" w:space="0" w:color="000000"/>
              <w:right w:val="single" w:sz="4" w:space="0" w:color="000000"/>
            </w:tcBorders>
            <w:shd w:val="clear" w:color="auto" w:fill="C0C0C0"/>
            <w:vAlign w:val="center"/>
          </w:tcPr>
          <w:p w14:paraId="13A349DC"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方案</w:t>
            </w:r>
          </w:p>
          <w:p w14:paraId="7A554766"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进度</w:t>
            </w:r>
          </w:p>
        </w:tc>
        <w:tc>
          <w:tcPr>
            <w:tcW w:w="2019" w:type="dxa"/>
            <w:tcBorders>
              <w:top w:val="single" w:sz="4" w:space="0" w:color="000000"/>
              <w:bottom w:val="single" w:sz="4" w:space="0" w:color="000000"/>
              <w:right w:val="single" w:sz="4" w:space="0" w:color="000000"/>
            </w:tcBorders>
            <w:shd w:val="clear" w:color="auto" w:fill="C0C0C0"/>
            <w:vAlign w:val="center"/>
          </w:tcPr>
          <w:p w14:paraId="34A10306"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激励方式</w:t>
            </w:r>
          </w:p>
        </w:tc>
        <w:tc>
          <w:tcPr>
            <w:tcW w:w="1308" w:type="dxa"/>
            <w:tcBorders>
              <w:top w:val="single" w:sz="4" w:space="0" w:color="000000"/>
              <w:bottom w:val="single" w:sz="4" w:space="0" w:color="000000"/>
              <w:right w:val="single" w:sz="4" w:space="0" w:color="000000"/>
            </w:tcBorders>
            <w:shd w:val="clear" w:color="auto" w:fill="C0C0C0"/>
            <w:vAlign w:val="center"/>
          </w:tcPr>
          <w:p w14:paraId="1FFDD778"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激励总数</w:t>
            </w:r>
            <w:r>
              <w:rPr>
                <w:rFonts w:ascii="华文楷体" w:eastAsia="华文楷体" w:hAnsi="华文楷体" w:cs="宋体" w:hint="eastAsia"/>
                <w:b/>
                <w:bCs/>
                <w:kern w:val="0"/>
              </w:rPr>
              <w:t>(</w:t>
            </w:r>
            <w:r>
              <w:rPr>
                <w:rFonts w:ascii="华文楷体" w:eastAsia="华文楷体" w:hAnsi="华文楷体" w:cs="宋体" w:hint="eastAsia"/>
                <w:b/>
                <w:bCs/>
                <w:kern w:val="0"/>
              </w:rPr>
              <w:t>万股</w:t>
            </w:r>
            <w:r>
              <w:rPr>
                <w:rFonts w:ascii="华文楷体" w:eastAsia="华文楷体" w:hAnsi="华文楷体" w:cs="宋体" w:hint="eastAsia"/>
                <w:b/>
                <w:bCs/>
                <w:kern w:val="0"/>
              </w:rPr>
              <w:t>/</w:t>
            </w:r>
            <w:r>
              <w:rPr>
                <w:rFonts w:ascii="华文楷体" w:eastAsia="华文楷体" w:hAnsi="华文楷体" w:cs="宋体" w:hint="eastAsia"/>
                <w:b/>
                <w:bCs/>
                <w:kern w:val="0"/>
              </w:rPr>
              <w:t>万份</w:t>
            </w:r>
            <w:r>
              <w:rPr>
                <w:rFonts w:ascii="华文楷体" w:eastAsia="华文楷体" w:hAnsi="华文楷体" w:cs="宋体" w:hint="eastAsia"/>
                <w:b/>
                <w:bCs/>
                <w:kern w:val="0"/>
              </w:rPr>
              <w:t>)</w:t>
            </w:r>
          </w:p>
        </w:tc>
        <w:tc>
          <w:tcPr>
            <w:tcW w:w="1331" w:type="dxa"/>
            <w:tcBorders>
              <w:top w:val="single" w:sz="4" w:space="0" w:color="000000"/>
              <w:bottom w:val="single" w:sz="4" w:space="0" w:color="000000"/>
              <w:right w:val="single" w:sz="4" w:space="0" w:color="000000"/>
            </w:tcBorders>
            <w:shd w:val="clear" w:color="auto" w:fill="C0C0C0"/>
            <w:vAlign w:val="center"/>
          </w:tcPr>
          <w:p w14:paraId="683FEBB6"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定增</w:t>
            </w:r>
            <w:r>
              <w:rPr>
                <w:rFonts w:ascii="华文楷体" w:eastAsia="华文楷体" w:hAnsi="华文楷体" w:cs="宋体" w:hint="eastAsia"/>
                <w:b/>
                <w:bCs/>
                <w:kern w:val="0"/>
              </w:rPr>
              <w:t>/</w:t>
            </w:r>
            <w:r>
              <w:rPr>
                <w:rFonts w:ascii="华文楷体" w:eastAsia="华文楷体" w:hAnsi="华文楷体" w:cs="宋体" w:hint="eastAsia"/>
                <w:b/>
                <w:bCs/>
                <w:kern w:val="0"/>
              </w:rPr>
              <w:t>行权价格（元</w:t>
            </w:r>
            <w:r>
              <w:rPr>
                <w:rFonts w:ascii="华文楷体" w:eastAsia="华文楷体" w:hAnsi="华文楷体" w:cs="宋体" w:hint="eastAsia"/>
                <w:b/>
                <w:bCs/>
                <w:kern w:val="0"/>
              </w:rPr>
              <w:t>/</w:t>
            </w:r>
            <w:r>
              <w:rPr>
                <w:rFonts w:ascii="华文楷体" w:eastAsia="华文楷体" w:hAnsi="华文楷体" w:cs="宋体" w:hint="eastAsia"/>
                <w:b/>
                <w:bCs/>
                <w:kern w:val="0"/>
              </w:rPr>
              <w:t>股）</w:t>
            </w:r>
          </w:p>
        </w:tc>
        <w:tc>
          <w:tcPr>
            <w:tcW w:w="945" w:type="dxa"/>
            <w:tcBorders>
              <w:top w:val="single" w:sz="4" w:space="0" w:color="000000"/>
              <w:bottom w:val="single" w:sz="4" w:space="0" w:color="000000"/>
              <w:right w:val="single" w:sz="4" w:space="0" w:color="000000"/>
            </w:tcBorders>
            <w:shd w:val="clear" w:color="auto" w:fill="C0C0C0"/>
            <w:vAlign w:val="center"/>
          </w:tcPr>
          <w:p w14:paraId="77428C24" w14:textId="77777777" w:rsidR="00ED5EBF" w:rsidRDefault="002034C8">
            <w:pPr>
              <w:widowControl/>
              <w:jc w:val="center"/>
              <w:rPr>
                <w:rFonts w:ascii="华文楷体" w:eastAsia="华文楷体" w:hAnsi="华文楷体" w:cs="宋体"/>
                <w:b/>
                <w:bCs/>
                <w:kern w:val="0"/>
              </w:rPr>
            </w:pPr>
            <w:r>
              <w:rPr>
                <w:rFonts w:ascii="华文楷体" w:eastAsia="华文楷体" w:hAnsi="华文楷体" w:cs="宋体" w:hint="eastAsia"/>
                <w:b/>
                <w:bCs/>
                <w:kern w:val="0"/>
              </w:rPr>
              <w:t>有效期</w:t>
            </w:r>
            <w:r>
              <w:rPr>
                <w:rFonts w:ascii="华文楷体" w:eastAsia="华文楷体" w:hAnsi="华文楷体" w:cs="宋体" w:hint="eastAsia"/>
                <w:b/>
                <w:bCs/>
                <w:kern w:val="0"/>
              </w:rPr>
              <w:t>(</w:t>
            </w:r>
            <w:r>
              <w:rPr>
                <w:rFonts w:ascii="华文楷体" w:eastAsia="华文楷体" w:hAnsi="华文楷体" w:cs="宋体" w:hint="eastAsia"/>
                <w:b/>
                <w:bCs/>
                <w:kern w:val="0"/>
              </w:rPr>
              <w:t>年</w:t>
            </w:r>
            <w:r>
              <w:rPr>
                <w:rFonts w:ascii="华文楷体" w:eastAsia="华文楷体" w:hAnsi="华文楷体" w:cs="宋体" w:hint="eastAsia"/>
                <w:b/>
                <w:bCs/>
                <w:kern w:val="0"/>
              </w:rPr>
              <w:t>)</w:t>
            </w:r>
          </w:p>
        </w:tc>
      </w:tr>
      <w:tr w:rsidR="00ED5EBF" w14:paraId="534B3646" w14:textId="77777777">
        <w:trPr>
          <w:trHeight w:val="285"/>
          <w:jc w:val="center"/>
        </w:trPr>
        <w:tc>
          <w:tcPr>
            <w:tcW w:w="919" w:type="dxa"/>
            <w:tcBorders>
              <w:top w:val="single" w:sz="4" w:space="0" w:color="000000"/>
              <w:left w:val="single" w:sz="4" w:space="0" w:color="000000"/>
              <w:bottom w:val="single" w:sz="4" w:space="0" w:color="000000"/>
              <w:right w:val="single" w:sz="4" w:space="0" w:color="000000"/>
            </w:tcBorders>
            <w:vAlign w:val="center"/>
          </w:tcPr>
          <w:p w14:paraId="62F8E924"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众信旅游</w:t>
            </w:r>
          </w:p>
        </w:tc>
        <w:tc>
          <w:tcPr>
            <w:tcW w:w="1701" w:type="dxa"/>
            <w:tcBorders>
              <w:top w:val="single" w:sz="4" w:space="0" w:color="000000"/>
              <w:left w:val="single" w:sz="4" w:space="0" w:color="000000"/>
              <w:bottom w:val="single" w:sz="4" w:space="0" w:color="000000"/>
              <w:right w:val="single" w:sz="4" w:space="0" w:color="000000"/>
            </w:tcBorders>
            <w:vAlign w:val="center"/>
          </w:tcPr>
          <w:p w14:paraId="021501D1"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10</w:t>
            </w:r>
            <w:r>
              <w:rPr>
                <w:rFonts w:ascii="华文楷体" w:eastAsia="华文楷体" w:hAnsi="华文楷体" w:cs="Times New Roman" w:hint="eastAsia"/>
              </w:rPr>
              <w:t>月</w:t>
            </w:r>
            <w:r>
              <w:rPr>
                <w:rFonts w:ascii="华文楷体" w:eastAsia="华文楷体" w:hAnsi="华文楷体" w:cs="Times New Roman" w:hint="eastAsia"/>
              </w:rPr>
              <w:t>13</w:t>
            </w:r>
            <w:r>
              <w:rPr>
                <w:rFonts w:ascii="华文楷体" w:eastAsia="华文楷体" w:hAnsi="华文楷体" w:cs="Times New Roman" w:hint="eastAsia"/>
              </w:rPr>
              <w:t>日</w:t>
            </w:r>
          </w:p>
        </w:tc>
        <w:tc>
          <w:tcPr>
            <w:tcW w:w="656" w:type="dxa"/>
            <w:tcBorders>
              <w:top w:val="single" w:sz="4" w:space="0" w:color="000000"/>
              <w:left w:val="single" w:sz="4" w:space="0" w:color="000000"/>
              <w:bottom w:val="single" w:sz="4" w:space="0" w:color="000000"/>
              <w:right w:val="single" w:sz="4" w:space="0" w:color="000000"/>
            </w:tcBorders>
            <w:vAlign w:val="center"/>
          </w:tcPr>
          <w:p w14:paraId="7AF36C70"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实施</w:t>
            </w:r>
          </w:p>
        </w:tc>
        <w:tc>
          <w:tcPr>
            <w:tcW w:w="2019" w:type="dxa"/>
            <w:tcBorders>
              <w:top w:val="single" w:sz="4" w:space="0" w:color="000000"/>
              <w:left w:val="single" w:sz="4" w:space="0" w:color="000000"/>
              <w:bottom w:val="single" w:sz="4" w:space="0" w:color="000000"/>
              <w:right w:val="single" w:sz="4" w:space="0" w:color="000000"/>
            </w:tcBorders>
            <w:vAlign w:val="center"/>
          </w:tcPr>
          <w:p w14:paraId="679409C3"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定向发行股票</w:t>
            </w:r>
          </w:p>
        </w:tc>
        <w:tc>
          <w:tcPr>
            <w:tcW w:w="1308" w:type="dxa"/>
            <w:tcBorders>
              <w:top w:val="single" w:sz="4" w:space="0" w:color="000000"/>
              <w:left w:val="single" w:sz="4" w:space="0" w:color="000000"/>
              <w:bottom w:val="single" w:sz="4" w:space="0" w:color="000000"/>
              <w:right w:val="single" w:sz="4" w:space="0" w:color="000000"/>
            </w:tcBorders>
            <w:vAlign w:val="center"/>
          </w:tcPr>
          <w:p w14:paraId="35475F2C"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1,564.37</w:t>
            </w:r>
          </w:p>
        </w:tc>
        <w:tc>
          <w:tcPr>
            <w:tcW w:w="1331" w:type="dxa"/>
            <w:tcBorders>
              <w:bottom w:val="single" w:sz="4" w:space="0" w:color="auto"/>
              <w:right w:val="single" w:sz="4" w:space="0" w:color="000000"/>
            </w:tcBorders>
            <w:vAlign w:val="center"/>
          </w:tcPr>
          <w:p w14:paraId="0E1AF2F4"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6.50</w:t>
            </w:r>
          </w:p>
        </w:tc>
        <w:tc>
          <w:tcPr>
            <w:tcW w:w="945" w:type="dxa"/>
            <w:tcBorders>
              <w:top w:val="single" w:sz="4" w:space="0" w:color="000000"/>
              <w:left w:val="single" w:sz="4" w:space="0" w:color="000000"/>
              <w:bottom w:val="single" w:sz="4" w:space="0" w:color="000000"/>
              <w:right w:val="single" w:sz="4" w:space="0" w:color="000000"/>
            </w:tcBorders>
            <w:vAlign w:val="center"/>
          </w:tcPr>
          <w:p w14:paraId="3AE7378F"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4</w:t>
            </w:r>
          </w:p>
        </w:tc>
      </w:tr>
      <w:tr w:rsidR="00ED5EBF" w14:paraId="1A5A4D3B" w14:textId="77777777">
        <w:trPr>
          <w:trHeight w:val="285"/>
          <w:jc w:val="center"/>
        </w:trPr>
        <w:tc>
          <w:tcPr>
            <w:tcW w:w="919" w:type="dxa"/>
            <w:tcBorders>
              <w:top w:val="single" w:sz="4" w:space="0" w:color="000000"/>
              <w:left w:val="single" w:sz="4" w:space="0" w:color="000000"/>
              <w:bottom w:val="single" w:sz="4" w:space="0" w:color="000000"/>
              <w:right w:val="single" w:sz="4" w:space="0" w:color="000000"/>
            </w:tcBorders>
            <w:vAlign w:val="center"/>
          </w:tcPr>
          <w:p w14:paraId="076E06A8"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科蓝软件</w:t>
            </w:r>
          </w:p>
        </w:tc>
        <w:tc>
          <w:tcPr>
            <w:tcW w:w="1701" w:type="dxa"/>
            <w:tcBorders>
              <w:top w:val="single" w:sz="4" w:space="0" w:color="000000"/>
              <w:left w:val="single" w:sz="4" w:space="0" w:color="000000"/>
              <w:bottom w:val="single" w:sz="4" w:space="0" w:color="000000"/>
              <w:right w:val="single" w:sz="4" w:space="0" w:color="000000"/>
            </w:tcBorders>
            <w:vAlign w:val="center"/>
          </w:tcPr>
          <w:p w14:paraId="23020BBD"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10</w:t>
            </w:r>
            <w:r>
              <w:rPr>
                <w:rFonts w:ascii="华文楷体" w:eastAsia="华文楷体" w:hAnsi="华文楷体" w:cs="Times New Roman" w:hint="eastAsia"/>
              </w:rPr>
              <w:t>月</w:t>
            </w:r>
            <w:r>
              <w:rPr>
                <w:rFonts w:ascii="华文楷体" w:eastAsia="华文楷体" w:hAnsi="华文楷体" w:cs="Times New Roman" w:hint="eastAsia"/>
              </w:rPr>
              <w:t>14</w:t>
            </w:r>
            <w:r>
              <w:rPr>
                <w:rFonts w:ascii="华文楷体" w:eastAsia="华文楷体" w:hAnsi="华文楷体" w:cs="Times New Roman" w:hint="eastAsia"/>
              </w:rPr>
              <w:t>日</w:t>
            </w:r>
          </w:p>
        </w:tc>
        <w:tc>
          <w:tcPr>
            <w:tcW w:w="656" w:type="dxa"/>
            <w:tcBorders>
              <w:top w:val="single" w:sz="4" w:space="0" w:color="000000"/>
              <w:left w:val="single" w:sz="4" w:space="0" w:color="000000"/>
              <w:bottom w:val="single" w:sz="4" w:space="0" w:color="000000"/>
              <w:right w:val="single" w:sz="4" w:space="0" w:color="000000"/>
            </w:tcBorders>
            <w:vAlign w:val="center"/>
          </w:tcPr>
          <w:p w14:paraId="208907B0"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实施</w:t>
            </w:r>
          </w:p>
        </w:tc>
        <w:tc>
          <w:tcPr>
            <w:tcW w:w="2019" w:type="dxa"/>
            <w:tcBorders>
              <w:top w:val="single" w:sz="4" w:space="0" w:color="000000"/>
              <w:left w:val="single" w:sz="4" w:space="0" w:color="000000"/>
              <w:bottom w:val="single" w:sz="4" w:space="0" w:color="000000"/>
              <w:right w:val="single" w:sz="4" w:space="0" w:color="000000"/>
            </w:tcBorders>
            <w:vAlign w:val="center"/>
          </w:tcPr>
          <w:p w14:paraId="43F89CFD"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定向发行股票</w:t>
            </w:r>
          </w:p>
        </w:tc>
        <w:tc>
          <w:tcPr>
            <w:tcW w:w="1308" w:type="dxa"/>
            <w:tcBorders>
              <w:top w:val="single" w:sz="4" w:space="0" w:color="000000"/>
              <w:left w:val="single" w:sz="4" w:space="0" w:color="000000"/>
              <w:bottom w:val="single" w:sz="4" w:space="0" w:color="000000"/>
              <w:right w:val="single" w:sz="4" w:space="0" w:color="auto"/>
            </w:tcBorders>
            <w:vAlign w:val="center"/>
          </w:tcPr>
          <w:p w14:paraId="33AB7CA3"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352.19</w:t>
            </w:r>
          </w:p>
        </w:tc>
        <w:tc>
          <w:tcPr>
            <w:tcW w:w="1331" w:type="dxa"/>
            <w:tcBorders>
              <w:top w:val="single" w:sz="4" w:space="0" w:color="auto"/>
              <w:left w:val="single" w:sz="4" w:space="0" w:color="auto"/>
              <w:bottom w:val="single" w:sz="4" w:space="0" w:color="auto"/>
              <w:right w:val="single" w:sz="4" w:space="0" w:color="auto"/>
            </w:tcBorders>
            <w:vAlign w:val="center"/>
          </w:tcPr>
          <w:p w14:paraId="54D9542D"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13.87</w:t>
            </w:r>
          </w:p>
        </w:tc>
        <w:tc>
          <w:tcPr>
            <w:tcW w:w="945" w:type="dxa"/>
            <w:tcBorders>
              <w:top w:val="single" w:sz="4" w:space="0" w:color="000000"/>
              <w:left w:val="single" w:sz="4" w:space="0" w:color="auto"/>
              <w:bottom w:val="single" w:sz="4" w:space="0" w:color="000000"/>
              <w:right w:val="single" w:sz="4" w:space="0" w:color="000000"/>
            </w:tcBorders>
            <w:vAlign w:val="center"/>
          </w:tcPr>
          <w:p w14:paraId="307F2FD2"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5</w:t>
            </w:r>
          </w:p>
        </w:tc>
      </w:tr>
      <w:tr w:rsidR="00ED5EBF" w14:paraId="188FB40B" w14:textId="77777777">
        <w:trPr>
          <w:trHeight w:val="285"/>
          <w:jc w:val="center"/>
        </w:trPr>
        <w:tc>
          <w:tcPr>
            <w:tcW w:w="919" w:type="dxa"/>
            <w:tcBorders>
              <w:top w:val="single" w:sz="4" w:space="0" w:color="000000"/>
              <w:left w:val="single" w:sz="4" w:space="0" w:color="000000"/>
              <w:bottom w:val="single" w:sz="4" w:space="0" w:color="000000"/>
              <w:right w:val="single" w:sz="4" w:space="0" w:color="000000"/>
            </w:tcBorders>
            <w:vAlign w:val="center"/>
          </w:tcPr>
          <w:p w14:paraId="15517DEB"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华胜天成</w:t>
            </w:r>
          </w:p>
        </w:tc>
        <w:tc>
          <w:tcPr>
            <w:tcW w:w="1701" w:type="dxa"/>
            <w:tcBorders>
              <w:top w:val="single" w:sz="4" w:space="0" w:color="000000"/>
              <w:left w:val="single" w:sz="4" w:space="0" w:color="000000"/>
              <w:bottom w:val="single" w:sz="4" w:space="0" w:color="000000"/>
              <w:right w:val="single" w:sz="4" w:space="0" w:color="000000"/>
            </w:tcBorders>
            <w:vAlign w:val="center"/>
          </w:tcPr>
          <w:p w14:paraId="72585DA9"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10</w:t>
            </w:r>
            <w:r>
              <w:rPr>
                <w:rFonts w:ascii="华文楷体" w:eastAsia="华文楷体" w:hAnsi="华文楷体" w:cs="Times New Roman" w:hint="eastAsia"/>
              </w:rPr>
              <w:t>月</w:t>
            </w:r>
            <w:r>
              <w:rPr>
                <w:rFonts w:ascii="华文楷体" w:eastAsia="华文楷体" w:hAnsi="华文楷体" w:cs="Times New Roman" w:hint="eastAsia"/>
              </w:rPr>
              <w:t>14</w:t>
            </w:r>
            <w:r>
              <w:rPr>
                <w:rFonts w:ascii="华文楷体" w:eastAsia="华文楷体" w:hAnsi="华文楷体" w:cs="Times New Roman" w:hint="eastAsia"/>
              </w:rPr>
              <w:t>日</w:t>
            </w:r>
          </w:p>
        </w:tc>
        <w:tc>
          <w:tcPr>
            <w:tcW w:w="656" w:type="dxa"/>
            <w:tcBorders>
              <w:top w:val="single" w:sz="4" w:space="0" w:color="000000"/>
              <w:left w:val="single" w:sz="4" w:space="0" w:color="000000"/>
              <w:bottom w:val="single" w:sz="4" w:space="0" w:color="000000"/>
              <w:right w:val="single" w:sz="4" w:space="0" w:color="000000"/>
            </w:tcBorders>
            <w:vAlign w:val="center"/>
          </w:tcPr>
          <w:p w14:paraId="430E0C90"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实施</w:t>
            </w:r>
          </w:p>
        </w:tc>
        <w:tc>
          <w:tcPr>
            <w:tcW w:w="2019" w:type="dxa"/>
            <w:tcBorders>
              <w:top w:val="single" w:sz="4" w:space="0" w:color="000000"/>
              <w:left w:val="single" w:sz="4" w:space="0" w:color="000000"/>
              <w:bottom w:val="single" w:sz="4" w:space="0" w:color="000000"/>
              <w:right w:val="single" w:sz="4" w:space="0" w:color="000000"/>
            </w:tcBorders>
            <w:vAlign w:val="center"/>
          </w:tcPr>
          <w:p w14:paraId="0D04C702"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定向发行股票</w:t>
            </w:r>
          </w:p>
        </w:tc>
        <w:tc>
          <w:tcPr>
            <w:tcW w:w="1308" w:type="dxa"/>
            <w:tcBorders>
              <w:top w:val="single" w:sz="4" w:space="0" w:color="000000"/>
              <w:left w:val="single" w:sz="4" w:space="0" w:color="000000"/>
              <w:bottom w:val="single" w:sz="4" w:space="0" w:color="000000"/>
              <w:right w:val="single" w:sz="4" w:space="0" w:color="000000"/>
            </w:tcBorders>
            <w:vAlign w:val="center"/>
          </w:tcPr>
          <w:p w14:paraId="0B535146"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715.00</w:t>
            </w:r>
          </w:p>
        </w:tc>
        <w:tc>
          <w:tcPr>
            <w:tcW w:w="1331" w:type="dxa"/>
            <w:tcBorders>
              <w:top w:val="single" w:sz="4" w:space="0" w:color="auto"/>
              <w:bottom w:val="single" w:sz="4" w:space="0" w:color="000000"/>
              <w:right w:val="single" w:sz="4" w:space="0" w:color="000000"/>
            </w:tcBorders>
            <w:vAlign w:val="center"/>
          </w:tcPr>
          <w:p w14:paraId="1661B117"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5.48</w:t>
            </w:r>
          </w:p>
        </w:tc>
        <w:tc>
          <w:tcPr>
            <w:tcW w:w="945" w:type="dxa"/>
            <w:tcBorders>
              <w:top w:val="single" w:sz="4" w:space="0" w:color="000000"/>
              <w:left w:val="single" w:sz="4" w:space="0" w:color="000000"/>
              <w:bottom w:val="single" w:sz="4" w:space="0" w:color="000000"/>
              <w:right w:val="single" w:sz="4" w:space="0" w:color="000000"/>
            </w:tcBorders>
            <w:vAlign w:val="center"/>
          </w:tcPr>
          <w:p w14:paraId="3CD37DD9"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3</w:t>
            </w:r>
          </w:p>
        </w:tc>
      </w:tr>
      <w:tr w:rsidR="00ED5EBF" w14:paraId="00AC2871" w14:textId="77777777">
        <w:trPr>
          <w:trHeight w:val="285"/>
          <w:jc w:val="center"/>
        </w:trPr>
        <w:tc>
          <w:tcPr>
            <w:tcW w:w="919" w:type="dxa"/>
            <w:tcBorders>
              <w:top w:val="single" w:sz="4" w:space="0" w:color="000000"/>
              <w:left w:val="single" w:sz="4" w:space="0" w:color="000000"/>
              <w:bottom w:val="single" w:sz="4" w:space="0" w:color="000000"/>
              <w:right w:val="single" w:sz="4" w:space="0" w:color="000000"/>
            </w:tcBorders>
            <w:vAlign w:val="center"/>
          </w:tcPr>
          <w:p w14:paraId="5BFAC50A"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中牧股份</w:t>
            </w:r>
          </w:p>
        </w:tc>
        <w:tc>
          <w:tcPr>
            <w:tcW w:w="1701" w:type="dxa"/>
            <w:tcBorders>
              <w:top w:val="single" w:sz="4" w:space="0" w:color="000000"/>
              <w:left w:val="single" w:sz="4" w:space="0" w:color="000000"/>
              <w:bottom w:val="single" w:sz="4" w:space="0" w:color="000000"/>
              <w:right w:val="single" w:sz="4" w:space="0" w:color="000000"/>
            </w:tcBorders>
            <w:vAlign w:val="center"/>
          </w:tcPr>
          <w:p w14:paraId="3E65EF91"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10</w:t>
            </w:r>
            <w:r>
              <w:rPr>
                <w:rFonts w:ascii="华文楷体" w:eastAsia="华文楷体" w:hAnsi="华文楷体" w:cs="Times New Roman" w:hint="eastAsia"/>
              </w:rPr>
              <w:t>月</w:t>
            </w:r>
            <w:r>
              <w:rPr>
                <w:rFonts w:ascii="华文楷体" w:eastAsia="华文楷体" w:hAnsi="华文楷体" w:cs="Times New Roman" w:hint="eastAsia"/>
              </w:rPr>
              <w:t>16</w:t>
            </w:r>
            <w:r>
              <w:rPr>
                <w:rFonts w:ascii="华文楷体" w:eastAsia="华文楷体" w:hAnsi="华文楷体" w:cs="Times New Roman" w:hint="eastAsia"/>
              </w:rPr>
              <w:t>日</w:t>
            </w:r>
          </w:p>
        </w:tc>
        <w:tc>
          <w:tcPr>
            <w:tcW w:w="656" w:type="dxa"/>
            <w:tcBorders>
              <w:top w:val="single" w:sz="4" w:space="0" w:color="000000"/>
              <w:left w:val="single" w:sz="4" w:space="0" w:color="000000"/>
              <w:bottom w:val="single" w:sz="4" w:space="0" w:color="000000"/>
              <w:right w:val="single" w:sz="4" w:space="0" w:color="000000"/>
            </w:tcBorders>
            <w:vAlign w:val="center"/>
          </w:tcPr>
          <w:p w14:paraId="67A46CD5"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实施</w:t>
            </w:r>
          </w:p>
        </w:tc>
        <w:tc>
          <w:tcPr>
            <w:tcW w:w="2019" w:type="dxa"/>
            <w:tcBorders>
              <w:top w:val="single" w:sz="4" w:space="0" w:color="000000"/>
              <w:left w:val="single" w:sz="4" w:space="0" w:color="000000"/>
              <w:bottom w:val="single" w:sz="4" w:space="0" w:color="000000"/>
              <w:right w:val="single" w:sz="4" w:space="0" w:color="000000"/>
            </w:tcBorders>
            <w:vAlign w:val="center"/>
          </w:tcPr>
          <w:p w14:paraId="29F01B72"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授予期权</w:t>
            </w:r>
          </w:p>
        </w:tc>
        <w:tc>
          <w:tcPr>
            <w:tcW w:w="1308" w:type="dxa"/>
            <w:tcBorders>
              <w:top w:val="single" w:sz="4" w:space="0" w:color="000000"/>
              <w:left w:val="single" w:sz="4" w:space="0" w:color="000000"/>
              <w:bottom w:val="single" w:sz="4" w:space="0" w:color="000000"/>
              <w:right w:val="single" w:sz="4" w:space="0" w:color="000000"/>
            </w:tcBorders>
            <w:vAlign w:val="center"/>
          </w:tcPr>
          <w:p w14:paraId="7B59A5C0"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796.16</w:t>
            </w:r>
          </w:p>
        </w:tc>
        <w:tc>
          <w:tcPr>
            <w:tcW w:w="1331" w:type="dxa"/>
            <w:tcBorders>
              <w:bottom w:val="single" w:sz="4" w:space="0" w:color="000000"/>
              <w:right w:val="single" w:sz="4" w:space="0" w:color="000000"/>
            </w:tcBorders>
            <w:vAlign w:val="center"/>
          </w:tcPr>
          <w:p w14:paraId="39389F93"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19.86</w:t>
            </w:r>
          </w:p>
        </w:tc>
        <w:tc>
          <w:tcPr>
            <w:tcW w:w="945" w:type="dxa"/>
            <w:tcBorders>
              <w:top w:val="single" w:sz="4" w:space="0" w:color="000000"/>
              <w:left w:val="single" w:sz="4" w:space="0" w:color="000000"/>
              <w:bottom w:val="single" w:sz="4" w:space="0" w:color="000000"/>
              <w:right w:val="single" w:sz="4" w:space="0" w:color="000000"/>
            </w:tcBorders>
            <w:vAlign w:val="center"/>
          </w:tcPr>
          <w:p w14:paraId="4C4EA8BD"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5</w:t>
            </w:r>
          </w:p>
        </w:tc>
      </w:tr>
      <w:tr w:rsidR="00ED5EBF" w14:paraId="59D5573C" w14:textId="77777777">
        <w:trPr>
          <w:trHeight w:val="285"/>
          <w:jc w:val="center"/>
        </w:trPr>
        <w:tc>
          <w:tcPr>
            <w:tcW w:w="919" w:type="dxa"/>
            <w:tcBorders>
              <w:top w:val="single" w:sz="4" w:space="0" w:color="000000"/>
              <w:left w:val="single" w:sz="4" w:space="0" w:color="000000"/>
              <w:bottom w:val="single" w:sz="4" w:space="0" w:color="000000"/>
              <w:right w:val="single" w:sz="4" w:space="0" w:color="000000"/>
            </w:tcBorders>
            <w:vAlign w:val="center"/>
          </w:tcPr>
          <w:p w14:paraId="679818FE"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有研新材</w:t>
            </w:r>
          </w:p>
        </w:tc>
        <w:tc>
          <w:tcPr>
            <w:tcW w:w="1701" w:type="dxa"/>
            <w:tcBorders>
              <w:top w:val="single" w:sz="4" w:space="0" w:color="000000"/>
              <w:left w:val="single" w:sz="4" w:space="0" w:color="000000"/>
              <w:bottom w:val="single" w:sz="4" w:space="0" w:color="000000"/>
              <w:right w:val="single" w:sz="4" w:space="0" w:color="000000"/>
            </w:tcBorders>
            <w:vAlign w:val="center"/>
          </w:tcPr>
          <w:p w14:paraId="5103ACFA"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10</w:t>
            </w:r>
            <w:r>
              <w:rPr>
                <w:rFonts w:ascii="华文楷体" w:eastAsia="华文楷体" w:hAnsi="华文楷体" w:cs="Times New Roman" w:hint="eastAsia"/>
              </w:rPr>
              <w:t>月</w:t>
            </w:r>
            <w:r>
              <w:rPr>
                <w:rFonts w:ascii="华文楷体" w:eastAsia="华文楷体" w:hAnsi="华文楷体" w:cs="Times New Roman" w:hint="eastAsia"/>
              </w:rPr>
              <w:t>17</w:t>
            </w:r>
            <w:r>
              <w:rPr>
                <w:rFonts w:ascii="华文楷体" w:eastAsia="华文楷体" w:hAnsi="华文楷体" w:cs="Times New Roman" w:hint="eastAsia"/>
              </w:rPr>
              <w:t>日</w:t>
            </w:r>
          </w:p>
        </w:tc>
        <w:tc>
          <w:tcPr>
            <w:tcW w:w="656" w:type="dxa"/>
            <w:tcBorders>
              <w:top w:val="single" w:sz="4" w:space="0" w:color="000000"/>
              <w:left w:val="single" w:sz="4" w:space="0" w:color="000000"/>
              <w:bottom w:val="single" w:sz="4" w:space="0" w:color="000000"/>
              <w:right w:val="single" w:sz="4" w:space="0" w:color="000000"/>
            </w:tcBorders>
            <w:vAlign w:val="center"/>
          </w:tcPr>
          <w:p w14:paraId="150FDCEC"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实施</w:t>
            </w:r>
          </w:p>
        </w:tc>
        <w:tc>
          <w:tcPr>
            <w:tcW w:w="2019" w:type="dxa"/>
            <w:tcBorders>
              <w:top w:val="single" w:sz="4" w:space="0" w:color="000000"/>
              <w:left w:val="single" w:sz="4" w:space="0" w:color="000000"/>
              <w:bottom w:val="single" w:sz="4" w:space="0" w:color="000000"/>
              <w:right w:val="single" w:sz="4" w:space="0" w:color="000000"/>
            </w:tcBorders>
            <w:vAlign w:val="center"/>
          </w:tcPr>
          <w:p w14:paraId="1C9B0501"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定向发行股票</w:t>
            </w:r>
          </w:p>
        </w:tc>
        <w:tc>
          <w:tcPr>
            <w:tcW w:w="1308" w:type="dxa"/>
            <w:tcBorders>
              <w:top w:val="single" w:sz="4" w:space="0" w:color="000000"/>
              <w:left w:val="single" w:sz="4" w:space="0" w:color="000000"/>
              <w:bottom w:val="single" w:sz="4" w:space="0" w:color="000000"/>
              <w:right w:val="single" w:sz="4" w:space="0" w:color="000000"/>
            </w:tcBorders>
            <w:vAlign w:val="center"/>
          </w:tcPr>
          <w:p w14:paraId="021BC4D8"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830.00</w:t>
            </w:r>
          </w:p>
        </w:tc>
        <w:tc>
          <w:tcPr>
            <w:tcW w:w="1331" w:type="dxa"/>
            <w:tcBorders>
              <w:bottom w:val="single" w:sz="4" w:space="0" w:color="000000"/>
              <w:right w:val="single" w:sz="4" w:space="0" w:color="000000"/>
            </w:tcBorders>
            <w:vAlign w:val="center"/>
          </w:tcPr>
          <w:p w14:paraId="7E5B3EE6"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5.75</w:t>
            </w:r>
          </w:p>
        </w:tc>
        <w:tc>
          <w:tcPr>
            <w:tcW w:w="945" w:type="dxa"/>
            <w:tcBorders>
              <w:top w:val="single" w:sz="4" w:space="0" w:color="000000"/>
              <w:left w:val="single" w:sz="4" w:space="0" w:color="000000"/>
              <w:bottom w:val="single" w:sz="4" w:space="0" w:color="000000"/>
              <w:right w:val="single" w:sz="4" w:space="0" w:color="000000"/>
            </w:tcBorders>
            <w:vAlign w:val="center"/>
          </w:tcPr>
          <w:p w14:paraId="0D88F2C0"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5</w:t>
            </w:r>
          </w:p>
        </w:tc>
      </w:tr>
      <w:tr w:rsidR="00ED5EBF" w14:paraId="44117C40" w14:textId="77777777">
        <w:trPr>
          <w:trHeight w:val="285"/>
          <w:jc w:val="center"/>
        </w:trPr>
        <w:tc>
          <w:tcPr>
            <w:tcW w:w="919" w:type="dxa"/>
            <w:tcBorders>
              <w:top w:val="single" w:sz="4" w:space="0" w:color="000000"/>
              <w:left w:val="single" w:sz="4" w:space="0" w:color="000000"/>
              <w:bottom w:val="single" w:sz="4" w:space="0" w:color="000000"/>
              <w:right w:val="single" w:sz="4" w:space="0" w:color="000000"/>
            </w:tcBorders>
            <w:vAlign w:val="center"/>
          </w:tcPr>
          <w:p w14:paraId="68808E6F"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中文在线</w:t>
            </w:r>
          </w:p>
        </w:tc>
        <w:tc>
          <w:tcPr>
            <w:tcW w:w="1701" w:type="dxa"/>
            <w:tcBorders>
              <w:top w:val="single" w:sz="4" w:space="0" w:color="000000"/>
              <w:left w:val="single" w:sz="4" w:space="0" w:color="000000"/>
              <w:bottom w:val="single" w:sz="4" w:space="0" w:color="000000"/>
              <w:right w:val="single" w:sz="4" w:space="0" w:color="000000"/>
            </w:tcBorders>
            <w:vAlign w:val="center"/>
          </w:tcPr>
          <w:p w14:paraId="26E518E9"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10</w:t>
            </w:r>
            <w:r>
              <w:rPr>
                <w:rFonts w:ascii="华文楷体" w:eastAsia="华文楷体" w:hAnsi="华文楷体" w:cs="Times New Roman" w:hint="eastAsia"/>
              </w:rPr>
              <w:t>月</w:t>
            </w:r>
            <w:r>
              <w:rPr>
                <w:rFonts w:ascii="华文楷体" w:eastAsia="华文楷体" w:hAnsi="华文楷体" w:cs="Times New Roman" w:hint="eastAsia"/>
              </w:rPr>
              <w:t>19</w:t>
            </w:r>
            <w:r>
              <w:rPr>
                <w:rFonts w:ascii="华文楷体" w:eastAsia="华文楷体" w:hAnsi="华文楷体" w:cs="Times New Roman" w:hint="eastAsia"/>
              </w:rPr>
              <w:t>日</w:t>
            </w:r>
          </w:p>
        </w:tc>
        <w:tc>
          <w:tcPr>
            <w:tcW w:w="656" w:type="dxa"/>
            <w:tcBorders>
              <w:top w:val="single" w:sz="4" w:space="0" w:color="000000"/>
              <w:left w:val="single" w:sz="4" w:space="0" w:color="000000"/>
              <w:bottom w:val="single" w:sz="4" w:space="0" w:color="000000"/>
              <w:right w:val="single" w:sz="4" w:space="0" w:color="000000"/>
            </w:tcBorders>
            <w:vAlign w:val="center"/>
          </w:tcPr>
          <w:p w14:paraId="3DF95B4A"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股东大会通过</w:t>
            </w:r>
          </w:p>
        </w:tc>
        <w:tc>
          <w:tcPr>
            <w:tcW w:w="2019" w:type="dxa"/>
            <w:tcBorders>
              <w:top w:val="single" w:sz="4" w:space="0" w:color="000000"/>
              <w:left w:val="single" w:sz="4" w:space="0" w:color="000000"/>
              <w:bottom w:val="single" w:sz="4" w:space="0" w:color="000000"/>
              <w:right w:val="single" w:sz="4" w:space="0" w:color="000000"/>
            </w:tcBorders>
            <w:vAlign w:val="center"/>
          </w:tcPr>
          <w:p w14:paraId="22300C03"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定向发行股票</w:t>
            </w:r>
          </w:p>
        </w:tc>
        <w:tc>
          <w:tcPr>
            <w:tcW w:w="1308" w:type="dxa"/>
            <w:tcBorders>
              <w:top w:val="single" w:sz="4" w:space="0" w:color="000000"/>
              <w:left w:val="single" w:sz="4" w:space="0" w:color="000000"/>
              <w:bottom w:val="single" w:sz="4" w:space="0" w:color="000000"/>
              <w:right w:val="single" w:sz="4" w:space="0" w:color="000000"/>
            </w:tcBorders>
            <w:vAlign w:val="center"/>
          </w:tcPr>
          <w:p w14:paraId="284998AC"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1,102.70</w:t>
            </w:r>
          </w:p>
        </w:tc>
        <w:tc>
          <w:tcPr>
            <w:tcW w:w="1331" w:type="dxa"/>
            <w:tcBorders>
              <w:bottom w:val="single" w:sz="4" w:space="0" w:color="000000"/>
              <w:right w:val="single" w:sz="4" w:space="0" w:color="000000"/>
            </w:tcBorders>
            <w:vAlign w:val="center"/>
          </w:tcPr>
          <w:p w14:paraId="2A72C033"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6.90</w:t>
            </w:r>
          </w:p>
        </w:tc>
        <w:tc>
          <w:tcPr>
            <w:tcW w:w="945" w:type="dxa"/>
            <w:tcBorders>
              <w:top w:val="single" w:sz="4" w:space="0" w:color="000000"/>
              <w:left w:val="single" w:sz="4" w:space="0" w:color="000000"/>
              <w:bottom w:val="single" w:sz="4" w:space="0" w:color="000000"/>
              <w:right w:val="single" w:sz="4" w:space="0" w:color="000000"/>
            </w:tcBorders>
            <w:vAlign w:val="center"/>
          </w:tcPr>
          <w:p w14:paraId="0F442378"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4</w:t>
            </w:r>
          </w:p>
        </w:tc>
      </w:tr>
      <w:tr w:rsidR="00ED5EBF" w14:paraId="092D1CD0" w14:textId="77777777">
        <w:trPr>
          <w:trHeight w:val="285"/>
          <w:jc w:val="center"/>
        </w:trPr>
        <w:tc>
          <w:tcPr>
            <w:tcW w:w="919" w:type="dxa"/>
            <w:tcBorders>
              <w:top w:val="single" w:sz="4" w:space="0" w:color="000000"/>
              <w:left w:val="single" w:sz="4" w:space="0" w:color="000000"/>
              <w:bottom w:val="single" w:sz="4" w:space="0" w:color="000000"/>
              <w:right w:val="single" w:sz="4" w:space="0" w:color="000000"/>
            </w:tcBorders>
            <w:vAlign w:val="center"/>
          </w:tcPr>
          <w:p w14:paraId="6DD86BEE"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捷成股份</w:t>
            </w:r>
          </w:p>
        </w:tc>
        <w:tc>
          <w:tcPr>
            <w:tcW w:w="1701" w:type="dxa"/>
            <w:tcBorders>
              <w:top w:val="single" w:sz="4" w:space="0" w:color="000000"/>
              <w:left w:val="single" w:sz="4" w:space="0" w:color="000000"/>
              <w:bottom w:val="single" w:sz="4" w:space="0" w:color="000000"/>
              <w:right w:val="single" w:sz="4" w:space="0" w:color="000000"/>
            </w:tcBorders>
            <w:vAlign w:val="center"/>
          </w:tcPr>
          <w:p w14:paraId="22B16AA5"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10</w:t>
            </w:r>
            <w:r>
              <w:rPr>
                <w:rFonts w:ascii="华文楷体" w:eastAsia="华文楷体" w:hAnsi="华文楷体" w:cs="Times New Roman" w:hint="eastAsia"/>
              </w:rPr>
              <w:t>月</w:t>
            </w:r>
            <w:r>
              <w:rPr>
                <w:rFonts w:ascii="华文楷体" w:eastAsia="华文楷体" w:hAnsi="华文楷体" w:cs="Times New Roman" w:hint="eastAsia"/>
              </w:rPr>
              <w:t>21</w:t>
            </w:r>
            <w:r>
              <w:rPr>
                <w:rFonts w:ascii="华文楷体" w:eastAsia="华文楷体" w:hAnsi="华文楷体" w:cs="Times New Roman" w:hint="eastAsia"/>
              </w:rPr>
              <w:t>日</w:t>
            </w:r>
          </w:p>
        </w:tc>
        <w:tc>
          <w:tcPr>
            <w:tcW w:w="656" w:type="dxa"/>
            <w:tcBorders>
              <w:top w:val="single" w:sz="4" w:space="0" w:color="000000"/>
              <w:left w:val="single" w:sz="4" w:space="0" w:color="000000"/>
              <w:bottom w:val="single" w:sz="4" w:space="0" w:color="000000"/>
              <w:right w:val="single" w:sz="4" w:space="0" w:color="000000"/>
            </w:tcBorders>
            <w:vAlign w:val="center"/>
          </w:tcPr>
          <w:p w14:paraId="0B55060D"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实施</w:t>
            </w:r>
          </w:p>
        </w:tc>
        <w:tc>
          <w:tcPr>
            <w:tcW w:w="2019" w:type="dxa"/>
            <w:tcBorders>
              <w:top w:val="single" w:sz="4" w:space="0" w:color="000000"/>
              <w:left w:val="single" w:sz="4" w:space="0" w:color="000000"/>
              <w:bottom w:val="single" w:sz="4" w:space="0" w:color="000000"/>
              <w:right w:val="single" w:sz="4" w:space="0" w:color="000000"/>
            </w:tcBorders>
            <w:vAlign w:val="center"/>
          </w:tcPr>
          <w:p w14:paraId="57D5C67C"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定向发行股票</w:t>
            </w:r>
          </w:p>
        </w:tc>
        <w:tc>
          <w:tcPr>
            <w:tcW w:w="1308" w:type="dxa"/>
            <w:tcBorders>
              <w:top w:val="single" w:sz="4" w:space="0" w:color="000000"/>
              <w:left w:val="single" w:sz="4" w:space="0" w:color="000000"/>
              <w:bottom w:val="single" w:sz="4" w:space="0" w:color="000000"/>
              <w:right w:val="single" w:sz="4" w:space="0" w:color="000000"/>
            </w:tcBorders>
            <w:vAlign w:val="center"/>
          </w:tcPr>
          <w:p w14:paraId="3F2C71DE"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1,999.20</w:t>
            </w:r>
          </w:p>
        </w:tc>
        <w:tc>
          <w:tcPr>
            <w:tcW w:w="1331" w:type="dxa"/>
            <w:tcBorders>
              <w:bottom w:val="single" w:sz="4" w:space="0" w:color="000000"/>
              <w:right w:val="single" w:sz="4" w:space="0" w:color="000000"/>
            </w:tcBorders>
            <w:vAlign w:val="center"/>
          </w:tcPr>
          <w:p w14:paraId="27191DED"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4.76</w:t>
            </w:r>
          </w:p>
        </w:tc>
        <w:tc>
          <w:tcPr>
            <w:tcW w:w="945" w:type="dxa"/>
            <w:tcBorders>
              <w:top w:val="single" w:sz="4" w:space="0" w:color="000000"/>
              <w:left w:val="single" w:sz="4" w:space="0" w:color="000000"/>
              <w:bottom w:val="single" w:sz="4" w:space="0" w:color="000000"/>
              <w:right w:val="single" w:sz="4" w:space="0" w:color="000000"/>
            </w:tcBorders>
            <w:vAlign w:val="center"/>
          </w:tcPr>
          <w:p w14:paraId="099DE37E"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4</w:t>
            </w:r>
          </w:p>
        </w:tc>
      </w:tr>
      <w:tr w:rsidR="00ED5EBF" w14:paraId="4027D9FF" w14:textId="77777777">
        <w:trPr>
          <w:trHeight w:val="285"/>
          <w:jc w:val="center"/>
        </w:trPr>
        <w:tc>
          <w:tcPr>
            <w:tcW w:w="919" w:type="dxa"/>
            <w:tcBorders>
              <w:top w:val="single" w:sz="4" w:space="0" w:color="000000"/>
              <w:left w:val="single" w:sz="4" w:space="0" w:color="000000"/>
              <w:bottom w:val="single" w:sz="4" w:space="0" w:color="000000"/>
              <w:right w:val="single" w:sz="4" w:space="0" w:color="000000"/>
            </w:tcBorders>
            <w:vAlign w:val="center"/>
          </w:tcPr>
          <w:p w14:paraId="22B70858"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思特奇</w:t>
            </w:r>
          </w:p>
        </w:tc>
        <w:tc>
          <w:tcPr>
            <w:tcW w:w="1701" w:type="dxa"/>
            <w:tcBorders>
              <w:top w:val="single" w:sz="4" w:space="0" w:color="000000"/>
              <w:left w:val="single" w:sz="4" w:space="0" w:color="000000"/>
              <w:bottom w:val="single" w:sz="4" w:space="0" w:color="000000"/>
              <w:right w:val="single" w:sz="4" w:space="0" w:color="000000"/>
            </w:tcBorders>
            <w:vAlign w:val="center"/>
          </w:tcPr>
          <w:p w14:paraId="62C7D4F5"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10</w:t>
            </w:r>
            <w:r>
              <w:rPr>
                <w:rFonts w:ascii="华文楷体" w:eastAsia="华文楷体" w:hAnsi="华文楷体" w:cs="Times New Roman" w:hint="eastAsia"/>
              </w:rPr>
              <w:t>月</w:t>
            </w:r>
            <w:r>
              <w:rPr>
                <w:rFonts w:ascii="华文楷体" w:eastAsia="华文楷体" w:hAnsi="华文楷体" w:cs="Times New Roman" w:hint="eastAsia"/>
              </w:rPr>
              <w:t>27</w:t>
            </w:r>
            <w:r>
              <w:rPr>
                <w:rFonts w:ascii="华文楷体" w:eastAsia="华文楷体" w:hAnsi="华文楷体" w:cs="Times New Roman" w:hint="eastAsia"/>
              </w:rPr>
              <w:t>日</w:t>
            </w:r>
          </w:p>
        </w:tc>
        <w:tc>
          <w:tcPr>
            <w:tcW w:w="656" w:type="dxa"/>
            <w:tcBorders>
              <w:top w:val="single" w:sz="4" w:space="0" w:color="000000"/>
              <w:left w:val="single" w:sz="4" w:space="0" w:color="000000"/>
              <w:bottom w:val="single" w:sz="4" w:space="0" w:color="000000"/>
              <w:right w:val="single" w:sz="4" w:space="0" w:color="000000"/>
            </w:tcBorders>
            <w:vAlign w:val="center"/>
          </w:tcPr>
          <w:p w14:paraId="2741B5AA"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实施</w:t>
            </w:r>
          </w:p>
        </w:tc>
        <w:tc>
          <w:tcPr>
            <w:tcW w:w="2019" w:type="dxa"/>
            <w:tcBorders>
              <w:top w:val="single" w:sz="4" w:space="0" w:color="000000"/>
              <w:left w:val="single" w:sz="4" w:space="0" w:color="000000"/>
              <w:bottom w:val="single" w:sz="4" w:space="0" w:color="000000"/>
              <w:right w:val="single" w:sz="4" w:space="0" w:color="000000"/>
            </w:tcBorders>
            <w:vAlign w:val="center"/>
          </w:tcPr>
          <w:p w14:paraId="1EE2FB80"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定向发行股票</w:t>
            </w:r>
          </w:p>
        </w:tc>
        <w:tc>
          <w:tcPr>
            <w:tcW w:w="1308" w:type="dxa"/>
            <w:tcBorders>
              <w:top w:val="single" w:sz="4" w:space="0" w:color="000000"/>
              <w:left w:val="single" w:sz="4" w:space="0" w:color="000000"/>
              <w:bottom w:val="single" w:sz="4" w:space="0" w:color="000000"/>
              <w:right w:val="single" w:sz="4" w:space="0" w:color="000000"/>
            </w:tcBorders>
            <w:vAlign w:val="center"/>
          </w:tcPr>
          <w:p w14:paraId="04D70E95"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78.55</w:t>
            </w:r>
          </w:p>
        </w:tc>
        <w:tc>
          <w:tcPr>
            <w:tcW w:w="1331" w:type="dxa"/>
            <w:tcBorders>
              <w:bottom w:val="single" w:sz="4" w:space="0" w:color="000000"/>
              <w:right w:val="single" w:sz="4" w:space="0" w:color="000000"/>
            </w:tcBorders>
            <w:vAlign w:val="center"/>
          </w:tcPr>
          <w:p w14:paraId="49571CA1"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27.00</w:t>
            </w:r>
          </w:p>
        </w:tc>
        <w:tc>
          <w:tcPr>
            <w:tcW w:w="945" w:type="dxa"/>
            <w:tcBorders>
              <w:top w:val="single" w:sz="4" w:space="0" w:color="000000"/>
              <w:left w:val="single" w:sz="4" w:space="0" w:color="000000"/>
              <w:bottom w:val="single" w:sz="4" w:space="0" w:color="000000"/>
              <w:right w:val="single" w:sz="4" w:space="0" w:color="000000"/>
            </w:tcBorders>
            <w:vAlign w:val="center"/>
          </w:tcPr>
          <w:p w14:paraId="2DF236AA"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3</w:t>
            </w:r>
          </w:p>
        </w:tc>
      </w:tr>
      <w:tr w:rsidR="00ED5EBF" w14:paraId="05E50B56" w14:textId="77777777">
        <w:trPr>
          <w:trHeight w:val="285"/>
          <w:jc w:val="center"/>
        </w:trPr>
        <w:tc>
          <w:tcPr>
            <w:tcW w:w="919" w:type="dxa"/>
            <w:tcBorders>
              <w:top w:val="single" w:sz="4" w:space="0" w:color="000000"/>
              <w:left w:val="single" w:sz="4" w:space="0" w:color="000000"/>
              <w:bottom w:val="single" w:sz="4" w:space="0" w:color="000000"/>
              <w:right w:val="single" w:sz="4" w:space="0" w:color="000000"/>
            </w:tcBorders>
            <w:vAlign w:val="center"/>
          </w:tcPr>
          <w:p w14:paraId="53E2D4FE"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海量数据</w:t>
            </w:r>
          </w:p>
        </w:tc>
        <w:tc>
          <w:tcPr>
            <w:tcW w:w="1701" w:type="dxa"/>
            <w:tcBorders>
              <w:top w:val="single" w:sz="4" w:space="0" w:color="000000"/>
              <w:left w:val="single" w:sz="4" w:space="0" w:color="000000"/>
              <w:bottom w:val="single" w:sz="4" w:space="0" w:color="000000"/>
              <w:right w:val="single" w:sz="4" w:space="0" w:color="000000"/>
            </w:tcBorders>
            <w:vAlign w:val="center"/>
          </w:tcPr>
          <w:p w14:paraId="4011E772"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10</w:t>
            </w:r>
            <w:r>
              <w:rPr>
                <w:rFonts w:ascii="华文楷体" w:eastAsia="华文楷体" w:hAnsi="华文楷体" w:cs="Times New Roman" w:hint="eastAsia"/>
              </w:rPr>
              <w:t>月</w:t>
            </w:r>
            <w:r>
              <w:rPr>
                <w:rFonts w:ascii="华文楷体" w:eastAsia="华文楷体" w:hAnsi="华文楷体" w:cs="Times New Roman" w:hint="eastAsia"/>
              </w:rPr>
              <w:t>31</w:t>
            </w:r>
            <w:r>
              <w:rPr>
                <w:rFonts w:ascii="华文楷体" w:eastAsia="华文楷体" w:hAnsi="华文楷体" w:cs="Times New Roman" w:hint="eastAsia"/>
              </w:rPr>
              <w:t>日</w:t>
            </w:r>
          </w:p>
        </w:tc>
        <w:tc>
          <w:tcPr>
            <w:tcW w:w="656" w:type="dxa"/>
            <w:tcBorders>
              <w:top w:val="single" w:sz="4" w:space="0" w:color="000000"/>
              <w:left w:val="single" w:sz="4" w:space="0" w:color="000000"/>
              <w:bottom w:val="single" w:sz="4" w:space="0" w:color="000000"/>
              <w:right w:val="single" w:sz="4" w:space="0" w:color="000000"/>
            </w:tcBorders>
            <w:vAlign w:val="center"/>
          </w:tcPr>
          <w:p w14:paraId="09E8CBB8"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实施</w:t>
            </w:r>
          </w:p>
        </w:tc>
        <w:tc>
          <w:tcPr>
            <w:tcW w:w="2019" w:type="dxa"/>
            <w:tcBorders>
              <w:top w:val="single" w:sz="4" w:space="0" w:color="000000"/>
              <w:left w:val="single" w:sz="4" w:space="0" w:color="000000"/>
              <w:bottom w:val="single" w:sz="4" w:space="0" w:color="000000"/>
              <w:right w:val="single" w:sz="4" w:space="0" w:color="000000"/>
            </w:tcBorders>
            <w:vAlign w:val="center"/>
          </w:tcPr>
          <w:p w14:paraId="42DC1A60"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定向发行股票</w:t>
            </w:r>
          </w:p>
        </w:tc>
        <w:tc>
          <w:tcPr>
            <w:tcW w:w="1308" w:type="dxa"/>
            <w:tcBorders>
              <w:top w:val="single" w:sz="4" w:space="0" w:color="000000"/>
              <w:left w:val="single" w:sz="4" w:space="0" w:color="000000"/>
              <w:bottom w:val="single" w:sz="4" w:space="0" w:color="000000"/>
              <w:right w:val="single" w:sz="4" w:space="0" w:color="000000"/>
            </w:tcBorders>
            <w:vAlign w:val="center"/>
          </w:tcPr>
          <w:p w14:paraId="10ECA820"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86.30</w:t>
            </w:r>
          </w:p>
        </w:tc>
        <w:tc>
          <w:tcPr>
            <w:tcW w:w="1331" w:type="dxa"/>
            <w:tcBorders>
              <w:bottom w:val="single" w:sz="4" w:space="0" w:color="000000"/>
              <w:right w:val="single" w:sz="4" w:space="0" w:color="000000"/>
            </w:tcBorders>
            <w:vAlign w:val="center"/>
          </w:tcPr>
          <w:p w14:paraId="61FA7F88"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20.11</w:t>
            </w:r>
          </w:p>
        </w:tc>
        <w:tc>
          <w:tcPr>
            <w:tcW w:w="945" w:type="dxa"/>
            <w:tcBorders>
              <w:top w:val="single" w:sz="4" w:space="0" w:color="000000"/>
              <w:left w:val="single" w:sz="4" w:space="0" w:color="000000"/>
              <w:bottom w:val="single" w:sz="4" w:space="0" w:color="000000"/>
              <w:right w:val="single" w:sz="4" w:space="0" w:color="000000"/>
            </w:tcBorders>
            <w:vAlign w:val="center"/>
          </w:tcPr>
          <w:p w14:paraId="61FB6F2D"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3</w:t>
            </w:r>
          </w:p>
        </w:tc>
      </w:tr>
      <w:tr w:rsidR="00ED5EBF" w14:paraId="30D044F5" w14:textId="77777777">
        <w:trPr>
          <w:trHeight w:val="285"/>
          <w:jc w:val="center"/>
        </w:trPr>
        <w:tc>
          <w:tcPr>
            <w:tcW w:w="919" w:type="dxa"/>
            <w:tcBorders>
              <w:top w:val="single" w:sz="4" w:space="0" w:color="000000"/>
              <w:left w:val="single" w:sz="4" w:space="0" w:color="000000"/>
              <w:bottom w:val="single" w:sz="4" w:space="0" w:color="000000"/>
              <w:right w:val="single" w:sz="4" w:space="0" w:color="000000"/>
            </w:tcBorders>
            <w:vAlign w:val="center"/>
          </w:tcPr>
          <w:p w14:paraId="3EF08AA1"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易华录</w:t>
            </w:r>
          </w:p>
        </w:tc>
        <w:tc>
          <w:tcPr>
            <w:tcW w:w="1701" w:type="dxa"/>
            <w:tcBorders>
              <w:top w:val="single" w:sz="4" w:space="0" w:color="000000"/>
              <w:left w:val="single" w:sz="4" w:space="0" w:color="000000"/>
              <w:bottom w:val="single" w:sz="4" w:space="0" w:color="000000"/>
              <w:right w:val="single" w:sz="4" w:space="0" w:color="000000"/>
            </w:tcBorders>
            <w:vAlign w:val="center"/>
          </w:tcPr>
          <w:p w14:paraId="2D0318A8"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11</w:t>
            </w:r>
            <w:r>
              <w:rPr>
                <w:rFonts w:ascii="华文楷体" w:eastAsia="华文楷体" w:hAnsi="华文楷体" w:cs="Times New Roman" w:hint="eastAsia"/>
              </w:rPr>
              <w:t>月</w:t>
            </w:r>
            <w:r>
              <w:rPr>
                <w:rFonts w:ascii="华文楷体" w:eastAsia="华文楷体" w:hAnsi="华文楷体" w:cs="Times New Roman" w:hint="eastAsia"/>
              </w:rPr>
              <w:t>8</w:t>
            </w:r>
            <w:r>
              <w:rPr>
                <w:rFonts w:ascii="华文楷体" w:eastAsia="华文楷体" w:hAnsi="华文楷体" w:cs="Times New Roman" w:hint="eastAsia"/>
              </w:rPr>
              <w:t>日</w:t>
            </w:r>
          </w:p>
        </w:tc>
        <w:tc>
          <w:tcPr>
            <w:tcW w:w="656" w:type="dxa"/>
            <w:tcBorders>
              <w:top w:val="single" w:sz="4" w:space="0" w:color="000000"/>
              <w:left w:val="single" w:sz="4" w:space="0" w:color="000000"/>
              <w:bottom w:val="single" w:sz="4" w:space="0" w:color="000000"/>
              <w:right w:val="single" w:sz="4" w:space="0" w:color="000000"/>
            </w:tcBorders>
            <w:vAlign w:val="center"/>
          </w:tcPr>
          <w:p w14:paraId="6AD5BA86"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实施</w:t>
            </w:r>
          </w:p>
        </w:tc>
        <w:tc>
          <w:tcPr>
            <w:tcW w:w="2019" w:type="dxa"/>
            <w:tcBorders>
              <w:top w:val="single" w:sz="4" w:space="0" w:color="000000"/>
              <w:left w:val="single" w:sz="4" w:space="0" w:color="000000"/>
              <w:bottom w:val="single" w:sz="4" w:space="0" w:color="000000"/>
              <w:right w:val="single" w:sz="4" w:space="0" w:color="000000"/>
            </w:tcBorders>
            <w:vAlign w:val="center"/>
          </w:tcPr>
          <w:p w14:paraId="24618A30"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定向发行股票</w:t>
            </w:r>
          </w:p>
        </w:tc>
        <w:tc>
          <w:tcPr>
            <w:tcW w:w="1308" w:type="dxa"/>
            <w:tcBorders>
              <w:top w:val="single" w:sz="4" w:space="0" w:color="000000"/>
              <w:left w:val="single" w:sz="4" w:space="0" w:color="000000"/>
              <w:bottom w:val="single" w:sz="4" w:space="0" w:color="000000"/>
              <w:right w:val="single" w:sz="4" w:space="0" w:color="000000"/>
            </w:tcBorders>
            <w:vAlign w:val="center"/>
          </w:tcPr>
          <w:p w14:paraId="4CFF0F4E"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739.57</w:t>
            </w:r>
          </w:p>
        </w:tc>
        <w:tc>
          <w:tcPr>
            <w:tcW w:w="1331" w:type="dxa"/>
            <w:tcBorders>
              <w:bottom w:val="single" w:sz="4" w:space="0" w:color="000000"/>
              <w:right w:val="single" w:sz="4" w:space="0" w:color="000000"/>
            </w:tcBorders>
            <w:vAlign w:val="center"/>
          </w:tcPr>
          <w:p w14:paraId="6FFB0231"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13.86</w:t>
            </w:r>
          </w:p>
        </w:tc>
        <w:tc>
          <w:tcPr>
            <w:tcW w:w="945" w:type="dxa"/>
            <w:tcBorders>
              <w:top w:val="single" w:sz="4" w:space="0" w:color="000000"/>
              <w:left w:val="single" w:sz="4" w:space="0" w:color="000000"/>
              <w:bottom w:val="single" w:sz="4" w:space="0" w:color="000000"/>
              <w:right w:val="single" w:sz="4" w:space="0" w:color="000000"/>
            </w:tcBorders>
            <w:vAlign w:val="center"/>
          </w:tcPr>
          <w:p w14:paraId="0B90105C"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5</w:t>
            </w:r>
          </w:p>
        </w:tc>
      </w:tr>
      <w:tr w:rsidR="00ED5EBF" w14:paraId="616C0AA7" w14:textId="77777777">
        <w:trPr>
          <w:trHeight w:val="285"/>
          <w:jc w:val="center"/>
        </w:trPr>
        <w:tc>
          <w:tcPr>
            <w:tcW w:w="919" w:type="dxa"/>
            <w:tcBorders>
              <w:top w:val="single" w:sz="4" w:space="0" w:color="000000"/>
              <w:left w:val="single" w:sz="4" w:space="0" w:color="000000"/>
              <w:bottom w:val="single" w:sz="4" w:space="0" w:color="000000"/>
              <w:right w:val="single" w:sz="4" w:space="0" w:color="000000"/>
            </w:tcBorders>
            <w:vAlign w:val="center"/>
          </w:tcPr>
          <w:p w14:paraId="40F232EF"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合康新能</w:t>
            </w:r>
          </w:p>
        </w:tc>
        <w:tc>
          <w:tcPr>
            <w:tcW w:w="1701" w:type="dxa"/>
            <w:tcBorders>
              <w:top w:val="single" w:sz="4" w:space="0" w:color="000000"/>
              <w:left w:val="single" w:sz="4" w:space="0" w:color="000000"/>
              <w:bottom w:val="single" w:sz="4" w:space="0" w:color="000000"/>
              <w:right w:val="single" w:sz="4" w:space="0" w:color="000000"/>
            </w:tcBorders>
            <w:vAlign w:val="center"/>
          </w:tcPr>
          <w:p w14:paraId="2698E30D"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11</w:t>
            </w:r>
            <w:r>
              <w:rPr>
                <w:rFonts w:ascii="华文楷体" w:eastAsia="华文楷体" w:hAnsi="华文楷体" w:cs="Times New Roman" w:hint="eastAsia"/>
              </w:rPr>
              <w:t>月</w:t>
            </w:r>
            <w:r>
              <w:rPr>
                <w:rFonts w:ascii="华文楷体" w:eastAsia="华文楷体" w:hAnsi="华文楷体" w:cs="Times New Roman" w:hint="eastAsia"/>
              </w:rPr>
              <w:t>27</w:t>
            </w:r>
            <w:r>
              <w:rPr>
                <w:rFonts w:ascii="华文楷体" w:eastAsia="华文楷体" w:hAnsi="华文楷体" w:cs="Times New Roman" w:hint="eastAsia"/>
              </w:rPr>
              <w:t>日</w:t>
            </w:r>
          </w:p>
        </w:tc>
        <w:tc>
          <w:tcPr>
            <w:tcW w:w="656" w:type="dxa"/>
            <w:tcBorders>
              <w:top w:val="single" w:sz="4" w:space="0" w:color="000000"/>
              <w:left w:val="single" w:sz="4" w:space="0" w:color="000000"/>
              <w:bottom w:val="single" w:sz="4" w:space="0" w:color="000000"/>
              <w:right w:val="single" w:sz="4" w:space="0" w:color="000000"/>
            </w:tcBorders>
            <w:vAlign w:val="center"/>
          </w:tcPr>
          <w:p w14:paraId="524B3699"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实施</w:t>
            </w:r>
          </w:p>
        </w:tc>
        <w:tc>
          <w:tcPr>
            <w:tcW w:w="2019" w:type="dxa"/>
            <w:tcBorders>
              <w:top w:val="single" w:sz="4" w:space="0" w:color="000000"/>
              <w:left w:val="single" w:sz="4" w:space="0" w:color="000000"/>
              <w:bottom w:val="single" w:sz="4" w:space="0" w:color="000000"/>
              <w:right w:val="single" w:sz="4" w:space="0" w:color="000000"/>
            </w:tcBorders>
            <w:vAlign w:val="center"/>
          </w:tcPr>
          <w:p w14:paraId="2A7A735C"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定向发行股票</w:t>
            </w:r>
          </w:p>
        </w:tc>
        <w:tc>
          <w:tcPr>
            <w:tcW w:w="1308" w:type="dxa"/>
            <w:tcBorders>
              <w:top w:val="single" w:sz="4" w:space="0" w:color="000000"/>
              <w:left w:val="single" w:sz="4" w:space="0" w:color="000000"/>
              <w:bottom w:val="single" w:sz="4" w:space="0" w:color="000000"/>
              <w:right w:val="single" w:sz="4" w:space="0" w:color="000000"/>
            </w:tcBorders>
            <w:vAlign w:val="center"/>
          </w:tcPr>
          <w:p w14:paraId="36A859DA"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2,633.95</w:t>
            </w:r>
          </w:p>
        </w:tc>
        <w:tc>
          <w:tcPr>
            <w:tcW w:w="1331" w:type="dxa"/>
            <w:tcBorders>
              <w:bottom w:val="single" w:sz="4" w:space="0" w:color="000000"/>
              <w:right w:val="single" w:sz="4" w:space="0" w:color="000000"/>
            </w:tcBorders>
            <w:vAlign w:val="center"/>
          </w:tcPr>
          <w:p w14:paraId="738BDA55"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2.34</w:t>
            </w:r>
          </w:p>
        </w:tc>
        <w:tc>
          <w:tcPr>
            <w:tcW w:w="945" w:type="dxa"/>
            <w:tcBorders>
              <w:top w:val="single" w:sz="4" w:space="0" w:color="000000"/>
              <w:left w:val="single" w:sz="4" w:space="0" w:color="000000"/>
              <w:bottom w:val="single" w:sz="4" w:space="0" w:color="000000"/>
              <w:right w:val="single" w:sz="4" w:space="0" w:color="000000"/>
            </w:tcBorders>
            <w:vAlign w:val="center"/>
          </w:tcPr>
          <w:p w14:paraId="5743DC6C"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4</w:t>
            </w:r>
          </w:p>
        </w:tc>
      </w:tr>
      <w:tr w:rsidR="00ED5EBF" w14:paraId="3647EB72" w14:textId="77777777">
        <w:trPr>
          <w:trHeight w:val="285"/>
          <w:jc w:val="center"/>
        </w:trPr>
        <w:tc>
          <w:tcPr>
            <w:tcW w:w="919" w:type="dxa"/>
            <w:tcBorders>
              <w:top w:val="single" w:sz="4" w:space="0" w:color="000000"/>
              <w:left w:val="single" w:sz="4" w:space="0" w:color="000000"/>
              <w:bottom w:val="single" w:sz="4" w:space="0" w:color="000000"/>
              <w:right w:val="single" w:sz="4" w:space="0" w:color="000000"/>
            </w:tcBorders>
            <w:vAlign w:val="center"/>
          </w:tcPr>
          <w:p w14:paraId="08E18655"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鼎汉技术</w:t>
            </w:r>
          </w:p>
        </w:tc>
        <w:tc>
          <w:tcPr>
            <w:tcW w:w="1701" w:type="dxa"/>
            <w:tcBorders>
              <w:top w:val="single" w:sz="4" w:space="0" w:color="000000"/>
              <w:left w:val="single" w:sz="4" w:space="0" w:color="000000"/>
              <w:bottom w:val="single" w:sz="4" w:space="0" w:color="000000"/>
              <w:right w:val="single" w:sz="4" w:space="0" w:color="000000"/>
            </w:tcBorders>
            <w:vAlign w:val="center"/>
          </w:tcPr>
          <w:p w14:paraId="4EEB204D"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12</w:t>
            </w:r>
            <w:r>
              <w:rPr>
                <w:rFonts w:ascii="华文楷体" w:eastAsia="华文楷体" w:hAnsi="华文楷体" w:cs="Times New Roman" w:hint="eastAsia"/>
              </w:rPr>
              <w:t>月</w:t>
            </w:r>
            <w:r>
              <w:rPr>
                <w:rFonts w:ascii="华文楷体" w:eastAsia="华文楷体" w:hAnsi="华文楷体" w:cs="Times New Roman" w:hint="eastAsia"/>
              </w:rPr>
              <w:t>7</w:t>
            </w:r>
            <w:r>
              <w:rPr>
                <w:rFonts w:ascii="华文楷体" w:eastAsia="华文楷体" w:hAnsi="华文楷体" w:cs="Times New Roman" w:hint="eastAsia"/>
              </w:rPr>
              <w:t>日</w:t>
            </w:r>
          </w:p>
        </w:tc>
        <w:tc>
          <w:tcPr>
            <w:tcW w:w="656" w:type="dxa"/>
            <w:tcBorders>
              <w:top w:val="single" w:sz="4" w:space="0" w:color="000000"/>
              <w:left w:val="single" w:sz="4" w:space="0" w:color="000000"/>
              <w:bottom w:val="single" w:sz="4" w:space="0" w:color="000000"/>
              <w:right w:val="single" w:sz="4" w:space="0" w:color="000000"/>
            </w:tcBorders>
            <w:vAlign w:val="center"/>
          </w:tcPr>
          <w:p w14:paraId="2D43175F"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股东大会通过</w:t>
            </w:r>
          </w:p>
        </w:tc>
        <w:tc>
          <w:tcPr>
            <w:tcW w:w="2019" w:type="dxa"/>
            <w:tcBorders>
              <w:top w:val="single" w:sz="4" w:space="0" w:color="000000"/>
              <w:left w:val="single" w:sz="4" w:space="0" w:color="000000"/>
              <w:bottom w:val="single" w:sz="4" w:space="0" w:color="000000"/>
              <w:right w:val="single" w:sz="4" w:space="0" w:color="000000"/>
            </w:tcBorders>
            <w:vAlign w:val="center"/>
          </w:tcPr>
          <w:p w14:paraId="01E4527C"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授予期权</w:t>
            </w:r>
          </w:p>
        </w:tc>
        <w:tc>
          <w:tcPr>
            <w:tcW w:w="1308" w:type="dxa"/>
            <w:tcBorders>
              <w:top w:val="single" w:sz="4" w:space="0" w:color="000000"/>
              <w:left w:val="single" w:sz="4" w:space="0" w:color="000000"/>
              <w:bottom w:val="single" w:sz="4" w:space="0" w:color="000000"/>
              <w:right w:val="single" w:sz="4" w:space="0" w:color="000000"/>
            </w:tcBorders>
            <w:vAlign w:val="center"/>
          </w:tcPr>
          <w:p w14:paraId="2F3D10A7"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1,517.00</w:t>
            </w:r>
          </w:p>
        </w:tc>
        <w:tc>
          <w:tcPr>
            <w:tcW w:w="1331" w:type="dxa"/>
            <w:tcBorders>
              <w:bottom w:val="single" w:sz="4" w:space="0" w:color="000000"/>
              <w:right w:val="single" w:sz="4" w:space="0" w:color="000000"/>
            </w:tcBorders>
            <w:vAlign w:val="center"/>
          </w:tcPr>
          <w:p w14:paraId="54B49396"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12.34</w:t>
            </w:r>
          </w:p>
        </w:tc>
        <w:tc>
          <w:tcPr>
            <w:tcW w:w="945" w:type="dxa"/>
            <w:tcBorders>
              <w:top w:val="single" w:sz="4" w:space="0" w:color="000000"/>
              <w:left w:val="single" w:sz="4" w:space="0" w:color="000000"/>
              <w:bottom w:val="single" w:sz="4" w:space="0" w:color="000000"/>
              <w:right w:val="single" w:sz="4" w:space="0" w:color="000000"/>
            </w:tcBorders>
            <w:vAlign w:val="center"/>
          </w:tcPr>
          <w:p w14:paraId="2E8EC5D3"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5</w:t>
            </w:r>
          </w:p>
        </w:tc>
      </w:tr>
      <w:tr w:rsidR="00ED5EBF" w14:paraId="3DE775F4" w14:textId="77777777">
        <w:trPr>
          <w:trHeight w:val="285"/>
          <w:jc w:val="center"/>
        </w:trPr>
        <w:tc>
          <w:tcPr>
            <w:tcW w:w="919" w:type="dxa"/>
            <w:tcBorders>
              <w:top w:val="single" w:sz="4" w:space="0" w:color="000000"/>
              <w:left w:val="single" w:sz="4" w:space="0" w:color="000000"/>
              <w:bottom w:val="single" w:sz="4" w:space="0" w:color="000000"/>
              <w:right w:val="single" w:sz="4" w:space="0" w:color="000000"/>
            </w:tcBorders>
            <w:vAlign w:val="center"/>
          </w:tcPr>
          <w:p w14:paraId="00204C4F"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二六三</w:t>
            </w:r>
          </w:p>
        </w:tc>
        <w:tc>
          <w:tcPr>
            <w:tcW w:w="1701" w:type="dxa"/>
            <w:tcBorders>
              <w:top w:val="single" w:sz="4" w:space="0" w:color="000000"/>
              <w:left w:val="single" w:sz="4" w:space="0" w:color="000000"/>
              <w:bottom w:val="single" w:sz="4" w:space="0" w:color="000000"/>
              <w:right w:val="single" w:sz="4" w:space="0" w:color="000000"/>
            </w:tcBorders>
            <w:vAlign w:val="center"/>
          </w:tcPr>
          <w:p w14:paraId="721C28A5"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12</w:t>
            </w:r>
            <w:r>
              <w:rPr>
                <w:rFonts w:ascii="华文楷体" w:eastAsia="华文楷体" w:hAnsi="华文楷体" w:cs="Times New Roman" w:hint="eastAsia"/>
              </w:rPr>
              <w:t>月</w:t>
            </w:r>
            <w:r>
              <w:rPr>
                <w:rFonts w:ascii="华文楷体" w:eastAsia="华文楷体" w:hAnsi="华文楷体" w:cs="Times New Roman" w:hint="eastAsia"/>
              </w:rPr>
              <w:t>9</w:t>
            </w:r>
            <w:r>
              <w:rPr>
                <w:rFonts w:ascii="华文楷体" w:eastAsia="华文楷体" w:hAnsi="华文楷体" w:cs="Times New Roman" w:hint="eastAsia"/>
              </w:rPr>
              <w:t>日</w:t>
            </w:r>
          </w:p>
        </w:tc>
        <w:tc>
          <w:tcPr>
            <w:tcW w:w="656" w:type="dxa"/>
            <w:tcBorders>
              <w:top w:val="single" w:sz="4" w:space="0" w:color="000000"/>
              <w:left w:val="single" w:sz="4" w:space="0" w:color="000000"/>
              <w:bottom w:val="single" w:sz="4" w:space="0" w:color="000000"/>
              <w:right w:val="single" w:sz="4" w:space="0" w:color="000000"/>
            </w:tcBorders>
            <w:vAlign w:val="center"/>
          </w:tcPr>
          <w:p w14:paraId="3D5039C1"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实施</w:t>
            </w:r>
          </w:p>
        </w:tc>
        <w:tc>
          <w:tcPr>
            <w:tcW w:w="2019" w:type="dxa"/>
            <w:tcBorders>
              <w:top w:val="single" w:sz="4" w:space="0" w:color="000000"/>
              <w:left w:val="single" w:sz="4" w:space="0" w:color="000000"/>
              <w:bottom w:val="single" w:sz="4" w:space="0" w:color="000000"/>
              <w:right w:val="single" w:sz="4" w:space="0" w:color="000000"/>
            </w:tcBorders>
            <w:vAlign w:val="center"/>
          </w:tcPr>
          <w:p w14:paraId="49C4740F"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定向发行股票</w:t>
            </w:r>
          </w:p>
        </w:tc>
        <w:tc>
          <w:tcPr>
            <w:tcW w:w="1308" w:type="dxa"/>
            <w:tcBorders>
              <w:top w:val="single" w:sz="4" w:space="0" w:color="000000"/>
              <w:left w:val="single" w:sz="4" w:space="0" w:color="000000"/>
              <w:bottom w:val="single" w:sz="4" w:space="0" w:color="000000"/>
              <w:right w:val="single" w:sz="4" w:space="0" w:color="000000"/>
            </w:tcBorders>
            <w:vAlign w:val="center"/>
          </w:tcPr>
          <w:p w14:paraId="10A54037"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380.00</w:t>
            </w:r>
          </w:p>
        </w:tc>
        <w:tc>
          <w:tcPr>
            <w:tcW w:w="1331" w:type="dxa"/>
            <w:tcBorders>
              <w:bottom w:val="single" w:sz="4" w:space="0" w:color="000000"/>
              <w:right w:val="single" w:sz="4" w:space="0" w:color="000000"/>
            </w:tcBorders>
            <w:vAlign w:val="center"/>
          </w:tcPr>
          <w:p w14:paraId="2E9D2C83"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4.20</w:t>
            </w:r>
          </w:p>
        </w:tc>
        <w:tc>
          <w:tcPr>
            <w:tcW w:w="945" w:type="dxa"/>
            <w:tcBorders>
              <w:top w:val="single" w:sz="4" w:space="0" w:color="000000"/>
              <w:left w:val="single" w:sz="4" w:space="0" w:color="000000"/>
              <w:bottom w:val="single" w:sz="4" w:space="0" w:color="000000"/>
              <w:right w:val="single" w:sz="4" w:space="0" w:color="000000"/>
            </w:tcBorders>
            <w:vAlign w:val="center"/>
          </w:tcPr>
          <w:p w14:paraId="5EC16FB6"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3</w:t>
            </w:r>
          </w:p>
        </w:tc>
      </w:tr>
    </w:tbl>
    <w:p w14:paraId="73A4ED80" w14:textId="77777777" w:rsidR="00ED5EBF" w:rsidRDefault="00ED5EBF">
      <w:pPr>
        <w:spacing w:line="360" w:lineRule="auto"/>
        <w:ind w:firstLineChars="200" w:firstLine="480"/>
        <w:rPr>
          <w:rFonts w:ascii="华文楷体" w:eastAsia="华文楷体" w:hAnsi="华文楷体"/>
        </w:rPr>
      </w:pPr>
    </w:p>
    <w:p w14:paraId="19383BDE"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4.2017</w:t>
      </w:r>
      <w:r>
        <w:rPr>
          <w:rFonts w:ascii="华文楷体" w:eastAsia="华文楷体" w:hAnsi="华文楷体" w:hint="eastAsia"/>
        </w:rPr>
        <w:t>年四季度上市公司新增员工持股计划情况表</w:t>
      </w:r>
    </w:p>
    <w:p w14:paraId="1D5D6A93" w14:textId="77777777" w:rsidR="00ED5EBF" w:rsidRDefault="00ED5EBF">
      <w:pPr>
        <w:spacing w:line="360" w:lineRule="auto"/>
        <w:ind w:firstLineChars="200" w:firstLine="480"/>
        <w:rPr>
          <w:rFonts w:ascii="华文楷体" w:eastAsia="华文楷体" w:hAnsi="华文楷体"/>
        </w:rPr>
      </w:pPr>
    </w:p>
    <w:tbl>
      <w:tblPr>
        <w:tblW w:w="8880" w:type="dxa"/>
        <w:jc w:val="center"/>
        <w:tblLayout w:type="fixed"/>
        <w:tblCellMar>
          <w:left w:w="6" w:type="dxa"/>
          <w:right w:w="6" w:type="dxa"/>
        </w:tblCellMar>
        <w:tblLook w:val="04A0" w:firstRow="1" w:lastRow="0" w:firstColumn="1" w:lastColumn="0" w:noHBand="0" w:noVBand="1"/>
      </w:tblPr>
      <w:tblGrid>
        <w:gridCol w:w="919"/>
        <w:gridCol w:w="1701"/>
        <w:gridCol w:w="1134"/>
        <w:gridCol w:w="1843"/>
        <w:gridCol w:w="992"/>
        <w:gridCol w:w="567"/>
        <w:gridCol w:w="851"/>
        <w:gridCol w:w="873"/>
      </w:tblGrid>
      <w:tr w:rsidR="00ED5EBF" w14:paraId="5874448A" w14:textId="77777777">
        <w:trPr>
          <w:cantSplit/>
          <w:trHeight w:val="680"/>
          <w:jc w:val="center"/>
        </w:trPr>
        <w:tc>
          <w:tcPr>
            <w:tcW w:w="919" w:type="dxa"/>
            <w:tcBorders>
              <w:top w:val="single" w:sz="8" w:space="0" w:color="auto"/>
              <w:left w:val="single" w:sz="8" w:space="0" w:color="auto"/>
              <w:right w:val="single" w:sz="8" w:space="0" w:color="auto"/>
            </w:tcBorders>
            <w:shd w:val="clear" w:color="000000" w:fill="BFBFBF"/>
            <w:vAlign w:val="center"/>
          </w:tcPr>
          <w:p w14:paraId="23CE425A" w14:textId="77777777" w:rsidR="00ED5EBF" w:rsidRDefault="002034C8">
            <w:pPr>
              <w:widowControl/>
              <w:jc w:val="center"/>
              <w:rPr>
                <w:rFonts w:ascii="华文楷体" w:eastAsia="华文楷体" w:hAnsi="华文楷体" w:cs="宋体"/>
                <w:b/>
                <w:bCs/>
                <w:color w:val="000000"/>
                <w:kern w:val="0"/>
              </w:rPr>
            </w:pPr>
            <w:r>
              <w:rPr>
                <w:rFonts w:ascii="华文楷体" w:eastAsia="华文楷体" w:hAnsi="华文楷体" w:cs="宋体" w:hint="eastAsia"/>
                <w:b/>
                <w:bCs/>
                <w:color w:val="000000"/>
                <w:kern w:val="0"/>
              </w:rPr>
              <w:t>公司简称</w:t>
            </w:r>
          </w:p>
        </w:tc>
        <w:tc>
          <w:tcPr>
            <w:tcW w:w="1701" w:type="dxa"/>
            <w:tcBorders>
              <w:top w:val="single" w:sz="8" w:space="0" w:color="auto"/>
              <w:left w:val="nil"/>
              <w:right w:val="single" w:sz="8" w:space="0" w:color="auto"/>
            </w:tcBorders>
            <w:shd w:val="clear" w:color="000000" w:fill="BFBFBF"/>
            <w:vAlign w:val="center"/>
          </w:tcPr>
          <w:p w14:paraId="3AD42BF8" w14:textId="77777777" w:rsidR="00ED5EBF" w:rsidRDefault="002034C8">
            <w:pPr>
              <w:widowControl/>
              <w:jc w:val="center"/>
              <w:rPr>
                <w:rFonts w:ascii="华文楷体" w:eastAsia="华文楷体" w:hAnsi="华文楷体" w:cs="宋体"/>
                <w:b/>
                <w:bCs/>
                <w:color w:val="000000"/>
                <w:kern w:val="0"/>
              </w:rPr>
            </w:pPr>
            <w:r>
              <w:rPr>
                <w:rFonts w:ascii="华文楷体" w:eastAsia="华文楷体" w:hAnsi="华文楷体" w:cs="宋体" w:hint="eastAsia"/>
                <w:b/>
                <w:bCs/>
                <w:color w:val="000000"/>
                <w:kern w:val="0"/>
              </w:rPr>
              <w:t>董事会预案日</w:t>
            </w:r>
          </w:p>
        </w:tc>
        <w:tc>
          <w:tcPr>
            <w:tcW w:w="1134" w:type="dxa"/>
            <w:tcBorders>
              <w:top w:val="single" w:sz="8" w:space="0" w:color="auto"/>
              <w:left w:val="single" w:sz="8" w:space="0" w:color="auto"/>
              <w:bottom w:val="single" w:sz="8" w:space="0" w:color="000000"/>
              <w:right w:val="single" w:sz="8" w:space="0" w:color="auto"/>
            </w:tcBorders>
            <w:shd w:val="clear" w:color="000000" w:fill="BFBFBF"/>
            <w:vAlign w:val="center"/>
          </w:tcPr>
          <w:p w14:paraId="78A7A88D" w14:textId="77777777" w:rsidR="00ED5EBF" w:rsidRDefault="002034C8">
            <w:pPr>
              <w:widowControl/>
              <w:jc w:val="center"/>
              <w:rPr>
                <w:rFonts w:ascii="华文楷体" w:eastAsia="华文楷体" w:hAnsi="华文楷体" w:cs="宋体"/>
                <w:b/>
                <w:bCs/>
                <w:color w:val="000000"/>
                <w:kern w:val="0"/>
              </w:rPr>
            </w:pPr>
            <w:r>
              <w:rPr>
                <w:rFonts w:ascii="华文楷体" w:eastAsia="华文楷体" w:hAnsi="华文楷体" w:cs="宋体" w:hint="eastAsia"/>
                <w:b/>
                <w:bCs/>
                <w:color w:val="000000"/>
                <w:kern w:val="0"/>
              </w:rPr>
              <w:t>初始资金规模</w:t>
            </w:r>
            <w:r>
              <w:rPr>
                <w:rFonts w:ascii="华文楷体" w:eastAsia="华文楷体" w:hAnsi="华文楷体" w:cs="宋体" w:hint="eastAsia"/>
                <w:b/>
                <w:bCs/>
                <w:color w:val="000000"/>
                <w:kern w:val="0"/>
              </w:rPr>
              <w:t>(</w:t>
            </w:r>
            <w:r>
              <w:rPr>
                <w:rFonts w:ascii="华文楷体" w:eastAsia="华文楷体" w:hAnsi="华文楷体" w:cs="宋体" w:hint="eastAsia"/>
                <w:b/>
                <w:bCs/>
                <w:color w:val="000000"/>
                <w:kern w:val="0"/>
              </w:rPr>
              <w:t>亿元</w:t>
            </w:r>
            <w:r>
              <w:rPr>
                <w:rFonts w:ascii="华文楷体" w:eastAsia="华文楷体" w:hAnsi="华文楷体" w:cs="宋体" w:hint="eastAsia"/>
                <w:b/>
                <w:bCs/>
                <w:color w:val="000000"/>
                <w:kern w:val="0"/>
              </w:rPr>
              <w:t>)</w:t>
            </w:r>
          </w:p>
        </w:tc>
        <w:tc>
          <w:tcPr>
            <w:tcW w:w="1843" w:type="dxa"/>
            <w:tcBorders>
              <w:top w:val="single" w:sz="8" w:space="0" w:color="auto"/>
              <w:left w:val="single" w:sz="8" w:space="0" w:color="auto"/>
              <w:bottom w:val="single" w:sz="8" w:space="0" w:color="000000"/>
              <w:right w:val="single" w:sz="8" w:space="0" w:color="auto"/>
            </w:tcBorders>
            <w:shd w:val="clear" w:color="000000" w:fill="BFBFBF"/>
            <w:vAlign w:val="center"/>
          </w:tcPr>
          <w:p w14:paraId="52FA12CC" w14:textId="77777777" w:rsidR="00ED5EBF" w:rsidRDefault="002034C8">
            <w:pPr>
              <w:widowControl/>
              <w:jc w:val="center"/>
              <w:rPr>
                <w:rFonts w:ascii="华文楷体" w:eastAsia="华文楷体" w:hAnsi="华文楷体" w:cs="宋体"/>
                <w:b/>
                <w:bCs/>
                <w:color w:val="000000"/>
                <w:kern w:val="0"/>
              </w:rPr>
            </w:pPr>
            <w:r>
              <w:rPr>
                <w:rFonts w:ascii="华文楷体" w:eastAsia="华文楷体" w:hAnsi="华文楷体" w:cs="宋体" w:hint="eastAsia"/>
                <w:b/>
                <w:bCs/>
                <w:color w:val="000000"/>
                <w:kern w:val="0"/>
              </w:rPr>
              <w:t>资金来源</w:t>
            </w:r>
          </w:p>
        </w:tc>
        <w:tc>
          <w:tcPr>
            <w:tcW w:w="992" w:type="dxa"/>
            <w:tcBorders>
              <w:top w:val="single" w:sz="8" w:space="0" w:color="auto"/>
              <w:left w:val="single" w:sz="8" w:space="0" w:color="auto"/>
              <w:bottom w:val="single" w:sz="8" w:space="0" w:color="000000"/>
              <w:right w:val="single" w:sz="8" w:space="0" w:color="auto"/>
            </w:tcBorders>
            <w:shd w:val="clear" w:color="000000" w:fill="BFBFBF"/>
            <w:vAlign w:val="center"/>
          </w:tcPr>
          <w:p w14:paraId="5EAFF366" w14:textId="77777777" w:rsidR="00ED5EBF" w:rsidRDefault="002034C8">
            <w:pPr>
              <w:widowControl/>
              <w:jc w:val="center"/>
              <w:rPr>
                <w:rFonts w:ascii="华文楷体" w:eastAsia="华文楷体" w:hAnsi="华文楷体" w:cs="宋体"/>
                <w:b/>
                <w:bCs/>
                <w:color w:val="000000"/>
                <w:kern w:val="0"/>
              </w:rPr>
            </w:pPr>
            <w:r>
              <w:rPr>
                <w:rFonts w:ascii="华文楷体" w:eastAsia="华文楷体" w:hAnsi="华文楷体" w:cs="宋体" w:hint="eastAsia"/>
                <w:b/>
                <w:bCs/>
                <w:color w:val="000000"/>
                <w:kern w:val="0"/>
              </w:rPr>
              <w:t>股票来源</w:t>
            </w:r>
          </w:p>
        </w:tc>
        <w:tc>
          <w:tcPr>
            <w:tcW w:w="567" w:type="dxa"/>
            <w:tcBorders>
              <w:top w:val="single" w:sz="8" w:space="0" w:color="auto"/>
              <w:left w:val="single" w:sz="8" w:space="0" w:color="auto"/>
              <w:bottom w:val="single" w:sz="8" w:space="0" w:color="000000"/>
              <w:right w:val="single" w:sz="8" w:space="0" w:color="auto"/>
            </w:tcBorders>
            <w:shd w:val="clear" w:color="000000" w:fill="BFBFBF"/>
            <w:vAlign w:val="center"/>
          </w:tcPr>
          <w:p w14:paraId="1F198159" w14:textId="77777777" w:rsidR="00ED5EBF" w:rsidRDefault="002034C8">
            <w:pPr>
              <w:widowControl/>
              <w:jc w:val="center"/>
              <w:rPr>
                <w:rFonts w:ascii="华文楷体" w:eastAsia="华文楷体" w:hAnsi="华文楷体" w:cs="宋体"/>
                <w:b/>
                <w:bCs/>
                <w:color w:val="000000"/>
                <w:kern w:val="0"/>
              </w:rPr>
            </w:pPr>
            <w:r>
              <w:rPr>
                <w:rFonts w:ascii="华文楷体" w:eastAsia="华文楷体" w:hAnsi="华文楷体" w:cs="宋体" w:hint="eastAsia"/>
                <w:b/>
                <w:bCs/>
                <w:color w:val="000000"/>
                <w:kern w:val="0"/>
              </w:rPr>
              <w:t>持有人数</w:t>
            </w:r>
          </w:p>
        </w:tc>
        <w:tc>
          <w:tcPr>
            <w:tcW w:w="851" w:type="dxa"/>
            <w:tcBorders>
              <w:top w:val="single" w:sz="8" w:space="0" w:color="auto"/>
              <w:left w:val="single" w:sz="8" w:space="0" w:color="auto"/>
              <w:bottom w:val="single" w:sz="8" w:space="0" w:color="000000"/>
              <w:right w:val="single" w:sz="8" w:space="0" w:color="auto"/>
            </w:tcBorders>
            <w:shd w:val="clear" w:color="000000" w:fill="BFBFBF"/>
            <w:vAlign w:val="center"/>
          </w:tcPr>
          <w:p w14:paraId="3083FF63" w14:textId="77777777" w:rsidR="00ED5EBF" w:rsidRDefault="002034C8">
            <w:pPr>
              <w:widowControl/>
              <w:jc w:val="center"/>
              <w:rPr>
                <w:rFonts w:ascii="华文楷体" w:eastAsia="华文楷体" w:hAnsi="华文楷体" w:cs="宋体"/>
                <w:b/>
                <w:bCs/>
                <w:color w:val="000000"/>
                <w:kern w:val="0"/>
              </w:rPr>
            </w:pPr>
            <w:r>
              <w:rPr>
                <w:rFonts w:ascii="华文楷体" w:eastAsia="华文楷体" w:hAnsi="华文楷体" w:cs="宋体" w:hint="eastAsia"/>
                <w:b/>
                <w:bCs/>
                <w:color w:val="000000"/>
                <w:kern w:val="0"/>
              </w:rPr>
              <w:t>员工认购比例</w:t>
            </w:r>
            <w:r>
              <w:rPr>
                <w:rFonts w:ascii="华文楷体" w:eastAsia="华文楷体" w:hAnsi="华文楷体" w:cs="宋体" w:hint="eastAsia"/>
                <w:b/>
                <w:bCs/>
                <w:color w:val="000000"/>
                <w:kern w:val="0"/>
              </w:rPr>
              <w:t>%</w:t>
            </w:r>
          </w:p>
        </w:tc>
        <w:tc>
          <w:tcPr>
            <w:tcW w:w="873" w:type="dxa"/>
            <w:tcBorders>
              <w:top w:val="single" w:sz="8" w:space="0" w:color="auto"/>
              <w:left w:val="single" w:sz="8" w:space="0" w:color="auto"/>
              <w:bottom w:val="single" w:sz="8" w:space="0" w:color="000000"/>
              <w:right w:val="single" w:sz="8" w:space="0" w:color="auto"/>
            </w:tcBorders>
            <w:shd w:val="clear" w:color="000000" w:fill="BFBFBF"/>
            <w:vAlign w:val="center"/>
          </w:tcPr>
          <w:p w14:paraId="52E93A74" w14:textId="77777777" w:rsidR="00ED5EBF" w:rsidRDefault="002034C8">
            <w:pPr>
              <w:widowControl/>
              <w:jc w:val="center"/>
              <w:rPr>
                <w:rFonts w:ascii="华文楷体" w:eastAsia="华文楷体" w:hAnsi="华文楷体" w:cs="宋体"/>
                <w:b/>
                <w:bCs/>
                <w:color w:val="000000"/>
                <w:kern w:val="0"/>
              </w:rPr>
            </w:pPr>
            <w:r>
              <w:rPr>
                <w:rFonts w:ascii="华文楷体" w:eastAsia="华文楷体" w:hAnsi="华文楷体" w:cs="宋体" w:hint="eastAsia"/>
                <w:b/>
                <w:bCs/>
                <w:color w:val="000000"/>
                <w:kern w:val="0"/>
              </w:rPr>
              <w:t>高管认购比例</w:t>
            </w:r>
            <w:r>
              <w:rPr>
                <w:rFonts w:ascii="华文楷体" w:eastAsia="华文楷体" w:hAnsi="华文楷体" w:cs="宋体" w:hint="eastAsia"/>
                <w:b/>
                <w:bCs/>
                <w:color w:val="000000"/>
                <w:kern w:val="0"/>
              </w:rPr>
              <w:t>%</w:t>
            </w:r>
          </w:p>
        </w:tc>
      </w:tr>
      <w:tr w:rsidR="00ED5EBF" w14:paraId="438ACF65" w14:textId="77777777">
        <w:trPr>
          <w:cantSplit/>
          <w:trHeight w:val="540"/>
          <w:jc w:val="center"/>
        </w:trPr>
        <w:tc>
          <w:tcPr>
            <w:tcW w:w="919" w:type="dxa"/>
            <w:tcBorders>
              <w:top w:val="single" w:sz="4" w:space="0" w:color="auto"/>
              <w:left w:val="single" w:sz="4" w:space="0" w:color="auto"/>
              <w:bottom w:val="single" w:sz="4" w:space="0" w:color="auto"/>
              <w:right w:val="single" w:sz="4" w:space="0" w:color="auto"/>
            </w:tcBorders>
            <w:vAlign w:val="center"/>
          </w:tcPr>
          <w:p w14:paraId="7F763826"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万通地产</w:t>
            </w:r>
          </w:p>
        </w:tc>
        <w:tc>
          <w:tcPr>
            <w:tcW w:w="1701" w:type="dxa"/>
            <w:tcBorders>
              <w:top w:val="single" w:sz="4" w:space="0" w:color="auto"/>
              <w:left w:val="nil"/>
              <w:bottom w:val="single" w:sz="4" w:space="0" w:color="auto"/>
              <w:right w:val="single" w:sz="4" w:space="0" w:color="auto"/>
            </w:tcBorders>
            <w:vAlign w:val="center"/>
          </w:tcPr>
          <w:p w14:paraId="7554F7B9"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11</w:t>
            </w:r>
            <w:r>
              <w:rPr>
                <w:rFonts w:ascii="华文楷体" w:eastAsia="华文楷体" w:hAnsi="华文楷体" w:cs="Times New Roman" w:hint="eastAsia"/>
              </w:rPr>
              <w:t>月</w:t>
            </w:r>
            <w:r>
              <w:rPr>
                <w:rFonts w:ascii="华文楷体" w:eastAsia="华文楷体" w:hAnsi="华文楷体" w:cs="Times New Roman" w:hint="eastAsia"/>
              </w:rPr>
              <w:t>23</w:t>
            </w:r>
            <w:r>
              <w:rPr>
                <w:rFonts w:ascii="华文楷体" w:eastAsia="华文楷体" w:hAnsi="华文楷体" w:cs="Times New Roman" w:hint="eastAsia"/>
              </w:rPr>
              <w:t>日</w:t>
            </w:r>
          </w:p>
        </w:tc>
        <w:tc>
          <w:tcPr>
            <w:tcW w:w="1134" w:type="dxa"/>
            <w:tcBorders>
              <w:top w:val="single" w:sz="4" w:space="0" w:color="auto"/>
              <w:left w:val="nil"/>
              <w:bottom w:val="single" w:sz="4" w:space="0" w:color="auto"/>
              <w:right w:val="single" w:sz="4" w:space="0" w:color="auto"/>
            </w:tcBorders>
            <w:vAlign w:val="center"/>
          </w:tcPr>
          <w:p w14:paraId="57B06007"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1</w:t>
            </w:r>
          </w:p>
        </w:tc>
        <w:tc>
          <w:tcPr>
            <w:tcW w:w="1843" w:type="dxa"/>
            <w:tcBorders>
              <w:top w:val="single" w:sz="4" w:space="0" w:color="auto"/>
              <w:left w:val="nil"/>
              <w:bottom w:val="single" w:sz="4" w:space="0" w:color="auto"/>
              <w:right w:val="single" w:sz="4" w:space="0" w:color="auto"/>
            </w:tcBorders>
            <w:vAlign w:val="center"/>
          </w:tcPr>
          <w:p w14:paraId="2460D512" w14:textId="77777777" w:rsidR="00ED5EBF" w:rsidRDefault="002034C8">
            <w:pPr>
              <w:rPr>
                <w:rFonts w:ascii="华文楷体" w:eastAsia="华文楷体" w:hAnsi="华文楷体" w:cs="Times New Roman"/>
              </w:rPr>
            </w:pPr>
            <w:r>
              <w:rPr>
                <w:rFonts w:ascii="华文楷体" w:eastAsia="华文楷体" w:hAnsi="华文楷体" w:cs="Times New Roman" w:hint="eastAsia"/>
              </w:rPr>
              <w:t>员工薪酬及自筹资金</w:t>
            </w:r>
            <w:r>
              <w:rPr>
                <w:rFonts w:ascii="华文楷体" w:eastAsia="华文楷体" w:hAnsi="华文楷体" w:cs="Times New Roman" w:hint="eastAsia"/>
              </w:rPr>
              <w:t>,</w:t>
            </w:r>
            <w:r>
              <w:rPr>
                <w:rFonts w:ascii="华文楷体" w:eastAsia="华文楷体" w:hAnsi="华文楷体" w:cs="Times New Roman" w:hint="eastAsia"/>
              </w:rPr>
              <w:t>股东或实际控制人借款</w:t>
            </w:r>
          </w:p>
        </w:tc>
        <w:tc>
          <w:tcPr>
            <w:tcW w:w="992" w:type="dxa"/>
            <w:tcBorders>
              <w:top w:val="single" w:sz="4" w:space="0" w:color="auto"/>
              <w:left w:val="nil"/>
              <w:bottom w:val="single" w:sz="4" w:space="0" w:color="auto"/>
              <w:right w:val="single" w:sz="4" w:space="0" w:color="auto"/>
            </w:tcBorders>
            <w:vAlign w:val="center"/>
          </w:tcPr>
          <w:p w14:paraId="31DAD5ED"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竞价转让</w:t>
            </w:r>
            <w:r>
              <w:rPr>
                <w:rFonts w:ascii="华文楷体" w:eastAsia="华文楷体" w:hAnsi="华文楷体" w:cs="Times New Roman" w:hint="eastAsia"/>
              </w:rPr>
              <w:t>,</w:t>
            </w:r>
            <w:r>
              <w:rPr>
                <w:rFonts w:ascii="华文楷体" w:eastAsia="华文楷体" w:hAnsi="华文楷体" w:cs="Times New Roman" w:hint="eastAsia"/>
              </w:rPr>
              <w:t>定向受让</w:t>
            </w:r>
          </w:p>
        </w:tc>
        <w:tc>
          <w:tcPr>
            <w:tcW w:w="567" w:type="dxa"/>
            <w:tcBorders>
              <w:top w:val="single" w:sz="4" w:space="0" w:color="auto"/>
              <w:left w:val="nil"/>
              <w:bottom w:val="single" w:sz="4" w:space="0" w:color="auto"/>
              <w:right w:val="single" w:sz="4" w:space="0" w:color="auto"/>
            </w:tcBorders>
            <w:vAlign w:val="center"/>
          </w:tcPr>
          <w:p w14:paraId="334DBC64"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35</w:t>
            </w:r>
          </w:p>
        </w:tc>
        <w:tc>
          <w:tcPr>
            <w:tcW w:w="851" w:type="dxa"/>
            <w:tcBorders>
              <w:top w:val="single" w:sz="4" w:space="0" w:color="auto"/>
              <w:left w:val="nil"/>
              <w:bottom w:val="single" w:sz="4" w:space="0" w:color="auto"/>
              <w:right w:val="single" w:sz="4" w:space="0" w:color="auto"/>
            </w:tcBorders>
            <w:vAlign w:val="center"/>
          </w:tcPr>
          <w:p w14:paraId="48411342"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47.00</w:t>
            </w:r>
          </w:p>
        </w:tc>
        <w:tc>
          <w:tcPr>
            <w:tcW w:w="873" w:type="dxa"/>
            <w:tcBorders>
              <w:top w:val="single" w:sz="4" w:space="0" w:color="auto"/>
              <w:left w:val="nil"/>
              <w:bottom w:val="single" w:sz="4" w:space="0" w:color="auto"/>
              <w:right w:val="single" w:sz="4" w:space="0" w:color="auto"/>
            </w:tcBorders>
            <w:vAlign w:val="center"/>
          </w:tcPr>
          <w:p w14:paraId="038C9708"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53.00</w:t>
            </w:r>
          </w:p>
        </w:tc>
      </w:tr>
      <w:tr w:rsidR="00ED5EBF" w14:paraId="7AAB3489" w14:textId="77777777">
        <w:trPr>
          <w:cantSplit/>
          <w:trHeight w:val="540"/>
          <w:jc w:val="center"/>
        </w:trPr>
        <w:tc>
          <w:tcPr>
            <w:tcW w:w="919" w:type="dxa"/>
            <w:tcBorders>
              <w:top w:val="nil"/>
              <w:left w:val="single" w:sz="4" w:space="0" w:color="auto"/>
              <w:bottom w:val="single" w:sz="4" w:space="0" w:color="auto"/>
              <w:right w:val="single" w:sz="4" w:space="0" w:color="auto"/>
            </w:tcBorders>
            <w:vAlign w:val="center"/>
          </w:tcPr>
          <w:p w14:paraId="3F432617"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能科股份</w:t>
            </w:r>
          </w:p>
        </w:tc>
        <w:tc>
          <w:tcPr>
            <w:tcW w:w="1701" w:type="dxa"/>
            <w:tcBorders>
              <w:top w:val="nil"/>
              <w:left w:val="nil"/>
              <w:bottom w:val="single" w:sz="4" w:space="0" w:color="auto"/>
              <w:right w:val="single" w:sz="4" w:space="0" w:color="auto"/>
            </w:tcBorders>
            <w:vAlign w:val="center"/>
          </w:tcPr>
          <w:p w14:paraId="0E191660"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11</w:t>
            </w:r>
            <w:r>
              <w:rPr>
                <w:rFonts w:ascii="华文楷体" w:eastAsia="华文楷体" w:hAnsi="华文楷体" w:cs="Times New Roman" w:hint="eastAsia"/>
              </w:rPr>
              <w:t>月</w:t>
            </w:r>
            <w:r>
              <w:rPr>
                <w:rFonts w:ascii="华文楷体" w:eastAsia="华文楷体" w:hAnsi="华文楷体" w:cs="Times New Roman" w:hint="eastAsia"/>
              </w:rPr>
              <w:t>25</w:t>
            </w:r>
            <w:r>
              <w:rPr>
                <w:rFonts w:ascii="华文楷体" w:eastAsia="华文楷体" w:hAnsi="华文楷体" w:cs="Times New Roman" w:hint="eastAsia"/>
              </w:rPr>
              <w:t>日</w:t>
            </w:r>
          </w:p>
        </w:tc>
        <w:tc>
          <w:tcPr>
            <w:tcW w:w="1134" w:type="dxa"/>
            <w:tcBorders>
              <w:top w:val="nil"/>
              <w:left w:val="nil"/>
              <w:bottom w:val="single" w:sz="4" w:space="0" w:color="auto"/>
              <w:right w:val="single" w:sz="4" w:space="0" w:color="auto"/>
            </w:tcBorders>
            <w:vAlign w:val="center"/>
          </w:tcPr>
          <w:p w14:paraId="737C286E"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0.5</w:t>
            </w:r>
          </w:p>
        </w:tc>
        <w:tc>
          <w:tcPr>
            <w:tcW w:w="1843" w:type="dxa"/>
            <w:tcBorders>
              <w:top w:val="nil"/>
              <w:left w:val="nil"/>
              <w:bottom w:val="single" w:sz="4" w:space="0" w:color="auto"/>
              <w:right w:val="single" w:sz="4" w:space="0" w:color="auto"/>
            </w:tcBorders>
            <w:vAlign w:val="center"/>
          </w:tcPr>
          <w:p w14:paraId="7D27EFB4" w14:textId="77777777" w:rsidR="00ED5EBF" w:rsidRDefault="002034C8">
            <w:pPr>
              <w:rPr>
                <w:rFonts w:ascii="华文楷体" w:eastAsia="华文楷体" w:hAnsi="华文楷体" w:cs="Times New Roman"/>
              </w:rPr>
            </w:pPr>
            <w:r>
              <w:rPr>
                <w:rFonts w:ascii="华文楷体" w:eastAsia="华文楷体" w:hAnsi="华文楷体" w:cs="Times New Roman" w:hint="eastAsia"/>
              </w:rPr>
              <w:t>员工薪酬及自筹资金</w:t>
            </w:r>
          </w:p>
        </w:tc>
        <w:tc>
          <w:tcPr>
            <w:tcW w:w="992" w:type="dxa"/>
            <w:tcBorders>
              <w:top w:val="nil"/>
              <w:left w:val="nil"/>
              <w:bottom w:val="single" w:sz="4" w:space="0" w:color="auto"/>
              <w:right w:val="single" w:sz="4" w:space="0" w:color="auto"/>
            </w:tcBorders>
            <w:vAlign w:val="center"/>
          </w:tcPr>
          <w:p w14:paraId="0023D464"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竞价转让</w:t>
            </w:r>
            <w:r>
              <w:rPr>
                <w:rFonts w:ascii="华文楷体" w:eastAsia="华文楷体" w:hAnsi="华文楷体" w:cs="Times New Roman" w:hint="eastAsia"/>
              </w:rPr>
              <w:t>,</w:t>
            </w:r>
            <w:r>
              <w:rPr>
                <w:rFonts w:ascii="华文楷体" w:eastAsia="华文楷体" w:hAnsi="华文楷体" w:cs="Times New Roman" w:hint="eastAsia"/>
              </w:rPr>
              <w:t>定向受让</w:t>
            </w:r>
          </w:p>
        </w:tc>
        <w:tc>
          <w:tcPr>
            <w:tcW w:w="567" w:type="dxa"/>
            <w:tcBorders>
              <w:top w:val="nil"/>
              <w:left w:val="nil"/>
              <w:bottom w:val="single" w:sz="4" w:space="0" w:color="auto"/>
              <w:right w:val="single" w:sz="4" w:space="0" w:color="auto"/>
            </w:tcBorders>
            <w:vAlign w:val="center"/>
          </w:tcPr>
          <w:p w14:paraId="7997A783"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58</w:t>
            </w:r>
          </w:p>
        </w:tc>
        <w:tc>
          <w:tcPr>
            <w:tcW w:w="851" w:type="dxa"/>
            <w:tcBorders>
              <w:top w:val="nil"/>
              <w:left w:val="nil"/>
              <w:bottom w:val="single" w:sz="4" w:space="0" w:color="auto"/>
              <w:right w:val="single" w:sz="4" w:space="0" w:color="auto"/>
            </w:tcBorders>
            <w:vAlign w:val="center"/>
          </w:tcPr>
          <w:p w14:paraId="4A024CB8"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29.56</w:t>
            </w:r>
          </w:p>
        </w:tc>
        <w:tc>
          <w:tcPr>
            <w:tcW w:w="873" w:type="dxa"/>
            <w:tcBorders>
              <w:top w:val="nil"/>
              <w:left w:val="nil"/>
              <w:bottom w:val="single" w:sz="4" w:space="0" w:color="auto"/>
              <w:right w:val="single" w:sz="4" w:space="0" w:color="auto"/>
            </w:tcBorders>
            <w:vAlign w:val="center"/>
          </w:tcPr>
          <w:p w14:paraId="554607EF"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70.44</w:t>
            </w:r>
          </w:p>
        </w:tc>
      </w:tr>
      <w:tr w:rsidR="00ED5EBF" w14:paraId="6BFE87A8" w14:textId="77777777">
        <w:trPr>
          <w:cantSplit/>
          <w:trHeight w:val="540"/>
          <w:jc w:val="center"/>
        </w:trPr>
        <w:tc>
          <w:tcPr>
            <w:tcW w:w="919" w:type="dxa"/>
            <w:tcBorders>
              <w:top w:val="nil"/>
              <w:left w:val="single" w:sz="4" w:space="0" w:color="auto"/>
              <w:bottom w:val="single" w:sz="4" w:space="0" w:color="auto"/>
              <w:right w:val="single" w:sz="4" w:space="0" w:color="auto"/>
            </w:tcBorders>
            <w:vAlign w:val="center"/>
          </w:tcPr>
          <w:p w14:paraId="150B6E5F"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吉艾科技</w:t>
            </w:r>
          </w:p>
        </w:tc>
        <w:tc>
          <w:tcPr>
            <w:tcW w:w="1701" w:type="dxa"/>
            <w:tcBorders>
              <w:top w:val="nil"/>
              <w:left w:val="nil"/>
              <w:bottom w:val="single" w:sz="4" w:space="0" w:color="auto"/>
              <w:right w:val="single" w:sz="4" w:space="0" w:color="auto"/>
            </w:tcBorders>
            <w:vAlign w:val="center"/>
          </w:tcPr>
          <w:p w14:paraId="7295FD10"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2017</w:t>
            </w:r>
            <w:r>
              <w:rPr>
                <w:rFonts w:ascii="华文楷体" w:eastAsia="华文楷体" w:hAnsi="华文楷体" w:cs="Times New Roman" w:hint="eastAsia"/>
              </w:rPr>
              <w:t>年</w:t>
            </w:r>
            <w:r>
              <w:rPr>
                <w:rFonts w:ascii="华文楷体" w:eastAsia="华文楷体" w:hAnsi="华文楷体" w:cs="Times New Roman" w:hint="eastAsia"/>
              </w:rPr>
              <w:t>12</w:t>
            </w:r>
            <w:r>
              <w:rPr>
                <w:rFonts w:ascii="华文楷体" w:eastAsia="华文楷体" w:hAnsi="华文楷体" w:cs="Times New Roman" w:hint="eastAsia"/>
              </w:rPr>
              <w:t>月</w:t>
            </w:r>
            <w:r>
              <w:rPr>
                <w:rFonts w:ascii="华文楷体" w:eastAsia="华文楷体" w:hAnsi="华文楷体" w:cs="Times New Roman" w:hint="eastAsia"/>
              </w:rPr>
              <w:t>2</w:t>
            </w:r>
            <w:r>
              <w:rPr>
                <w:rFonts w:ascii="华文楷体" w:eastAsia="华文楷体" w:hAnsi="华文楷体" w:cs="Times New Roman" w:hint="eastAsia"/>
              </w:rPr>
              <w:t>日</w:t>
            </w:r>
          </w:p>
        </w:tc>
        <w:tc>
          <w:tcPr>
            <w:tcW w:w="1134" w:type="dxa"/>
            <w:tcBorders>
              <w:top w:val="nil"/>
              <w:left w:val="nil"/>
              <w:bottom w:val="single" w:sz="4" w:space="0" w:color="auto"/>
              <w:right w:val="single" w:sz="4" w:space="0" w:color="auto"/>
            </w:tcBorders>
            <w:vAlign w:val="center"/>
          </w:tcPr>
          <w:p w14:paraId="7F1A44BF"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0.5</w:t>
            </w:r>
          </w:p>
        </w:tc>
        <w:tc>
          <w:tcPr>
            <w:tcW w:w="1843" w:type="dxa"/>
            <w:tcBorders>
              <w:top w:val="nil"/>
              <w:left w:val="nil"/>
              <w:bottom w:val="single" w:sz="4" w:space="0" w:color="auto"/>
              <w:right w:val="single" w:sz="4" w:space="0" w:color="auto"/>
            </w:tcBorders>
            <w:vAlign w:val="center"/>
          </w:tcPr>
          <w:p w14:paraId="2DCC4FFE" w14:textId="77777777" w:rsidR="00ED5EBF" w:rsidRDefault="002034C8">
            <w:pPr>
              <w:rPr>
                <w:rFonts w:ascii="华文楷体" w:eastAsia="华文楷体" w:hAnsi="华文楷体" w:cs="Times New Roman"/>
              </w:rPr>
            </w:pPr>
            <w:r>
              <w:rPr>
                <w:rFonts w:ascii="华文楷体" w:eastAsia="华文楷体" w:hAnsi="华文楷体" w:cs="Times New Roman" w:hint="eastAsia"/>
              </w:rPr>
              <w:t>员工薪酬及自筹资金</w:t>
            </w:r>
          </w:p>
        </w:tc>
        <w:tc>
          <w:tcPr>
            <w:tcW w:w="992" w:type="dxa"/>
            <w:tcBorders>
              <w:top w:val="nil"/>
              <w:left w:val="nil"/>
              <w:bottom w:val="single" w:sz="4" w:space="0" w:color="auto"/>
              <w:right w:val="single" w:sz="4" w:space="0" w:color="auto"/>
            </w:tcBorders>
            <w:vAlign w:val="center"/>
          </w:tcPr>
          <w:p w14:paraId="12259FD0"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竞价转让</w:t>
            </w:r>
            <w:r>
              <w:rPr>
                <w:rFonts w:ascii="华文楷体" w:eastAsia="华文楷体" w:hAnsi="华文楷体" w:cs="Times New Roman" w:hint="eastAsia"/>
              </w:rPr>
              <w:t>,</w:t>
            </w:r>
            <w:r>
              <w:rPr>
                <w:rFonts w:ascii="华文楷体" w:eastAsia="华文楷体" w:hAnsi="华文楷体" w:cs="Times New Roman" w:hint="eastAsia"/>
              </w:rPr>
              <w:t>定向受让</w:t>
            </w:r>
          </w:p>
        </w:tc>
        <w:tc>
          <w:tcPr>
            <w:tcW w:w="567" w:type="dxa"/>
            <w:tcBorders>
              <w:top w:val="nil"/>
              <w:left w:val="nil"/>
              <w:bottom w:val="single" w:sz="4" w:space="0" w:color="auto"/>
              <w:right w:val="single" w:sz="4" w:space="0" w:color="auto"/>
            </w:tcBorders>
            <w:vAlign w:val="center"/>
          </w:tcPr>
          <w:p w14:paraId="4870AE8D" w14:textId="77777777" w:rsidR="00ED5EBF" w:rsidRDefault="002034C8">
            <w:pPr>
              <w:jc w:val="center"/>
              <w:rPr>
                <w:rFonts w:ascii="华文楷体" w:eastAsia="华文楷体" w:hAnsi="华文楷体" w:cs="Times New Roman"/>
              </w:rPr>
            </w:pPr>
            <w:r>
              <w:rPr>
                <w:rFonts w:ascii="华文楷体" w:eastAsia="华文楷体" w:hAnsi="华文楷体" w:cs="Times New Roman" w:hint="eastAsia"/>
              </w:rPr>
              <w:t>45</w:t>
            </w:r>
          </w:p>
        </w:tc>
        <w:tc>
          <w:tcPr>
            <w:tcW w:w="851" w:type="dxa"/>
            <w:tcBorders>
              <w:top w:val="nil"/>
              <w:left w:val="nil"/>
              <w:bottom w:val="single" w:sz="4" w:space="0" w:color="auto"/>
              <w:right w:val="single" w:sz="4" w:space="0" w:color="auto"/>
            </w:tcBorders>
            <w:vAlign w:val="center"/>
          </w:tcPr>
          <w:p w14:paraId="25E535B6" w14:textId="77777777" w:rsidR="00ED5EBF" w:rsidRDefault="00ED5EBF">
            <w:pPr>
              <w:jc w:val="center"/>
              <w:rPr>
                <w:rFonts w:ascii="华文楷体" w:eastAsia="华文楷体" w:hAnsi="华文楷体" w:cs="Times New Roman"/>
              </w:rPr>
            </w:pPr>
          </w:p>
        </w:tc>
        <w:tc>
          <w:tcPr>
            <w:tcW w:w="873" w:type="dxa"/>
            <w:tcBorders>
              <w:top w:val="nil"/>
              <w:left w:val="nil"/>
              <w:bottom w:val="single" w:sz="4" w:space="0" w:color="auto"/>
              <w:right w:val="single" w:sz="4" w:space="0" w:color="auto"/>
            </w:tcBorders>
            <w:vAlign w:val="center"/>
          </w:tcPr>
          <w:p w14:paraId="654A3C77" w14:textId="77777777" w:rsidR="00ED5EBF" w:rsidRDefault="00ED5EBF">
            <w:pPr>
              <w:jc w:val="center"/>
              <w:rPr>
                <w:rFonts w:ascii="华文楷体" w:eastAsia="华文楷体" w:hAnsi="华文楷体" w:cs="Times New Roman"/>
              </w:rPr>
            </w:pPr>
          </w:p>
        </w:tc>
      </w:tr>
    </w:tbl>
    <w:p w14:paraId="1EA71D7D" w14:textId="77777777" w:rsidR="00ED5EBF" w:rsidRDefault="002034C8">
      <w:pPr>
        <w:spacing w:line="360" w:lineRule="auto"/>
        <w:ind w:firstLineChars="200" w:firstLine="480"/>
        <w:jc w:val="right"/>
        <w:rPr>
          <w:rFonts w:ascii="华文楷体" w:eastAsia="华文楷体" w:hAnsi="华文楷体"/>
        </w:rPr>
      </w:pPr>
      <w:r>
        <w:rPr>
          <w:rFonts w:ascii="华文楷体" w:eastAsia="华文楷体" w:hAnsi="华文楷体" w:hint="eastAsia"/>
        </w:rPr>
        <w:t>（数据来源：</w:t>
      </w:r>
      <w:r>
        <w:rPr>
          <w:rFonts w:ascii="华文楷体" w:eastAsia="华文楷体" w:hAnsi="华文楷体" w:hint="eastAsia"/>
        </w:rPr>
        <w:t>wind</w:t>
      </w:r>
      <w:r>
        <w:rPr>
          <w:rFonts w:ascii="华文楷体" w:eastAsia="华文楷体" w:hAnsi="华文楷体" w:hint="eastAsia"/>
        </w:rPr>
        <w:t>资讯）</w:t>
      </w:r>
    </w:p>
    <w:p w14:paraId="0C22F5CB" w14:textId="77777777" w:rsidR="00ED5EBF" w:rsidRDefault="00ED5EBF">
      <w:pPr>
        <w:spacing w:line="360" w:lineRule="auto"/>
        <w:ind w:firstLineChars="200" w:firstLine="480"/>
        <w:rPr>
          <w:rFonts w:ascii="华文楷体" w:eastAsia="华文楷体" w:hAnsi="华文楷体"/>
        </w:rPr>
      </w:pPr>
    </w:p>
    <w:p w14:paraId="343C14C2"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（三）辅导备案情况</w:t>
      </w:r>
    </w:p>
    <w:p w14:paraId="7FF5302A" w14:textId="77777777" w:rsidR="00ED5EBF" w:rsidRDefault="00ED5EBF">
      <w:pPr>
        <w:spacing w:line="360" w:lineRule="auto"/>
        <w:ind w:firstLineChars="200" w:firstLine="480"/>
        <w:rPr>
          <w:rFonts w:ascii="华文楷体" w:eastAsia="华文楷体" w:hAnsi="华文楷体"/>
        </w:rPr>
      </w:pPr>
    </w:p>
    <w:p w14:paraId="7C45A55A"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本季度，辖区新增辅导备案公司</w:t>
      </w:r>
      <w:r>
        <w:rPr>
          <w:rFonts w:ascii="华文楷体" w:eastAsia="华文楷体" w:hAnsi="华文楷体" w:hint="eastAsia"/>
        </w:rPr>
        <w:t>27</w:t>
      </w:r>
      <w:r>
        <w:rPr>
          <w:rFonts w:ascii="华文楷体" w:eastAsia="华文楷体" w:hAnsi="华文楷体" w:hint="eastAsia"/>
        </w:rPr>
        <w:t>家，共计</w:t>
      </w:r>
      <w:r>
        <w:rPr>
          <w:rFonts w:ascii="华文楷体" w:eastAsia="华文楷体" w:hAnsi="华文楷体" w:hint="eastAsia"/>
        </w:rPr>
        <w:t>11</w:t>
      </w:r>
      <w:r>
        <w:rPr>
          <w:rFonts w:ascii="华文楷体" w:eastAsia="华文楷体" w:hAnsi="华文楷体" w:hint="eastAsia"/>
        </w:rPr>
        <w:t>家公司通过辅导验收。截至</w:t>
      </w:r>
      <w:r>
        <w:rPr>
          <w:rFonts w:ascii="华文楷体" w:eastAsia="华文楷体" w:hAnsi="华文楷体" w:hint="eastAsia"/>
        </w:rPr>
        <w:t>2017</w:t>
      </w:r>
      <w:r>
        <w:rPr>
          <w:rFonts w:ascii="华文楷体" w:eastAsia="华文楷体" w:hAnsi="华文楷体" w:hint="eastAsia"/>
        </w:rPr>
        <w:t>年</w:t>
      </w:r>
      <w:r>
        <w:rPr>
          <w:rFonts w:ascii="华文楷体" w:eastAsia="华文楷体" w:hAnsi="华文楷体" w:hint="eastAsia"/>
        </w:rPr>
        <w:t>12</w:t>
      </w:r>
      <w:r>
        <w:rPr>
          <w:rFonts w:ascii="华文楷体" w:eastAsia="华文楷体" w:hAnsi="华文楷体" w:hint="eastAsia"/>
        </w:rPr>
        <w:t>月</w:t>
      </w:r>
      <w:r>
        <w:rPr>
          <w:rFonts w:ascii="华文楷体" w:eastAsia="华文楷体" w:hAnsi="华文楷体" w:hint="eastAsia"/>
        </w:rPr>
        <w:t>31</w:t>
      </w:r>
      <w:r>
        <w:rPr>
          <w:rFonts w:ascii="华文楷体" w:eastAsia="华文楷体" w:hAnsi="华文楷体" w:hint="eastAsia"/>
        </w:rPr>
        <w:t>日，辖区共计</w:t>
      </w:r>
      <w:r>
        <w:rPr>
          <w:rFonts w:ascii="华文楷体" w:eastAsia="华文楷体" w:hAnsi="华文楷体" w:hint="eastAsia"/>
        </w:rPr>
        <w:t>173</w:t>
      </w:r>
      <w:r>
        <w:rPr>
          <w:rFonts w:ascii="华文楷体" w:eastAsia="华文楷体" w:hAnsi="华文楷体" w:hint="eastAsia"/>
        </w:rPr>
        <w:t>家拟上市公司，其中在会</w:t>
      </w:r>
      <w:r>
        <w:rPr>
          <w:rFonts w:ascii="华文楷体" w:eastAsia="华文楷体" w:hAnsi="华文楷体" w:hint="eastAsia"/>
        </w:rPr>
        <w:t>56</w:t>
      </w:r>
      <w:r>
        <w:rPr>
          <w:rFonts w:ascii="华文楷体" w:eastAsia="华文楷体" w:hAnsi="华文楷体" w:hint="eastAsia"/>
        </w:rPr>
        <w:t>家；</w:t>
      </w:r>
      <w:r>
        <w:rPr>
          <w:rFonts w:ascii="华文楷体" w:eastAsia="华文楷体" w:hAnsi="华文楷体" w:hint="eastAsia"/>
        </w:rPr>
        <w:t>7</w:t>
      </w:r>
      <w:r>
        <w:rPr>
          <w:rFonts w:ascii="华文楷体" w:eastAsia="华文楷体" w:hAnsi="华文楷体" w:hint="eastAsia"/>
        </w:rPr>
        <w:t>家公司已通过我局验收但尚未报会；</w:t>
      </w:r>
      <w:r>
        <w:rPr>
          <w:rFonts w:ascii="华文楷体" w:eastAsia="华文楷体" w:hAnsi="华文楷体" w:hint="eastAsia"/>
        </w:rPr>
        <w:t>110</w:t>
      </w:r>
      <w:r>
        <w:rPr>
          <w:rFonts w:ascii="华文楷体" w:eastAsia="华文楷体" w:hAnsi="华文楷体" w:hint="eastAsia"/>
        </w:rPr>
        <w:t>家正在我局辅导备案。</w:t>
      </w:r>
    </w:p>
    <w:p w14:paraId="16E575B1" w14:textId="77777777" w:rsidR="00ED5EBF" w:rsidRDefault="00ED5EBF">
      <w:pPr>
        <w:spacing w:line="360" w:lineRule="auto"/>
        <w:ind w:firstLineChars="200" w:firstLine="480"/>
        <w:rPr>
          <w:rFonts w:ascii="华文楷体" w:eastAsia="华文楷体" w:hAnsi="华文楷体"/>
        </w:rPr>
      </w:pPr>
    </w:p>
    <w:p w14:paraId="7BE0D4D9"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【监管会议】</w:t>
      </w:r>
    </w:p>
    <w:p w14:paraId="7B5288F5" w14:textId="77777777" w:rsidR="00ED5EBF" w:rsidRDefault="00ED5EBF">
      <w:pPr>
        <w:spacing w:line="360" w:lineRule="auto"/>
        <w:ind w:firstLineChars="200" w:firstLine="480"/>
        <w:rPr>
          <w:rFonts w:ascii="华文楷体" w:eastAsia="华文楷体" w:hAnsi="华文楷体"/>
        </w:rPr>
      </w:pPr>
    </w:p>
    <w:p w14:paraId="285D1039"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（一）立信会计师事务所座谈会</w:t>
      </w:r>
    </w:p>
    <w:p w14:paraId="15441FDE" w14:textId="77777777" w:rsidR="00ED5EBF" w:rsidRDefault="00ED5EBF">
      <w:pPr>
        <w:spacing w:line="360" w:lineRule="auto"/>
        <w:ind w:firstLineChars="200" w:firstLine="480"/>
        <w:rPr>
          <w:rFonts w:ascii="华文楷体" w:eastAsia="华文楷体" w:hAnsi="华文楷体"/>
        </w:rPr>
      </w:pPr>
    </w:p>
    <w:p w14:paraId="71875439"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为深入贯彻刘士余主席出席纪念潘序伦先生创办立信九十周年活动重要讲话精神，促进辖区注册会计师行业健康发展，防范辖区上市公司审计风险，北京证监局于</w:t>
      </w:r>
      <w:r>
        <w:rPr>
          <w:rFonts w:ascii="华文楷体" w:eastAsia="华文楷体" w:hAnsi="华文楷体" w:hint="eastAsia"/>
        </w:rPr>
        <w:t>2017</w:t>
      </w:r>
      <w:r>
        <w:rPr>
          <w:rFonts w:ascii="华文楷体" w:eastAsia="华文楷体" w:hAnsi="华文楷体" w:hint="eastAsia"/>
        </w:rPr>
        <w:t>年</w:t>
      </w:r>
      <w:r>
        <w:rPr>
          <w:rFonts w:ascii="华文楷体" w:eastAsia="华文楷体" w:hAnsi="华文楷体" w:hint="eastAsia"/>
        </w:rPr>
        <w:t>12</w:t>
      </w:r>
      <w:r>
        <w:rPr>
          <w:rFonts w:ascii="华文楷体" w:eastAsia="华文楷体" w:hAnsi="华文楷体" w:hint="eastAsia"/>
        </w:rPr>
        <w:t>月</w:t>
      </w:r>
      <w:r>
        <w:rPr>
          <w:rFonts w:ascii="华文楷体" w:eastAsia="华文楷体" w:hAnsi="华文楷体" w:hint="eastAsia"/>
        </w:rPr>
        <w:t>22</w:t>
      </w:r>
      <w:r>
        <w:rPr>
          <w:rFonts w:ascii="华文楷体" w:eastAsia="华文楷体" w:hAnsi="华文楷体" w:hint="eastAsia"/>
        </w:rPr>
        <w:t>日举办与立信会计师事务所座谈会。立信会计师事务所北京分所、上海分所等相关合伙人出席会议。座谈会上我局强</w:t>
      </w:r>
      <w:r>
        <w:rPr>
          <w:rFonts w:ascii="华文楷体" w:eastAsia="华文楷体" w:hAnsi="华文楷体" w:hint="eastAsia"/>
        </w:rPr>
        <w:t>调，当前证监会通过依法、从严、全面监管加强对证券资格会计师事务所的监管，加大了对重大违法违规审计案件的稽查执法力度，会计师事务所面临的监管压力和违规成本显著提高。对此，会计师事务所应高度重视，恪守职业操守，坚守诚信底线，建立健全内部治理机制，严把质量控制关口，真正当好资本市场的“看门人”。同时，资本市场交易形式日益复杂、各种新型业务不断涌现，推动着审计理论实践的不断变革与完善。会计师事务所应加大人才培养，不断提高审计队伍的执业能力，树立专业自信、行业自信，为提升北京辖区上市公司财务信息披露质量奠定坚实的基础</w:t>
      </w:r>
      <w:r>
        <w:rPr>
          <w:rFonts w:ascii="华文楷体" w:eastAsia="华文楷体" w:hAnsi="华文楷体" w:hint="eastAsia"/>
        </w:rPr>
        <w:t>。</w:t>
      </w:r>
    </w:p>
    <w:p w14:paraId="6FB700F8" w14:textId="77777777" w:rsidR="00ED5EBF" w:rsidRDefault="00ED5EBF">
      <w:pPr>
        <w:spacing w:line="360" w:lineRule="auto"/>
        <w:ind w:firstLineChars="200" w:firstLine="480"/>
        <w:rPr>
          <w:rFonts w:ascii="华文楷体" w:eastAsia="华文楷体" w:hAnsi="华文楷体"/>
        </w:rPr>
      </w:pPr>
    </w:p>
    <w:p w14:paraId="5AAD2A72"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（二）上市公司董事监事专题培训</w:t>
      </w:r>
    </w:p>
    <w:p w14:paraId="40423719" w14:textId="77777777" w:rsidR="00ED5EBF" w:rsidRDefault="00ED5EBF">
      <w:pPr>
        <w:spacing w:line="360" w:lineRule="auto"/>
        <w:ind w:firstLineChars="200" w:firstLine="480"/>
        <w:rPr>
          <w:rFonts w:ascii="华文楷体" w:eastAsia="华文楷体" w:hAnsi="华文楷体"/>
        </w:rPr>
      </w:pPr>
    </w:p>
    <w:p w14:paraId="47489233"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第八期·内控建设专题培训</w:t>
      </w:r>
    </w:p>
    <w:p w14:paraId="461D7961" w14:textId="77777777" w:rsidR="00ED5EBF" w:rsidRDefault="00ED5EBF">
      <w:pPr>
        <w:spacing w:line="360" w:lineRule="auto"/>
        <w:ind w:firstLineChars="200" w:firstLine="480"/>
        <w:rPr>
          <w:rFonts w:ascii="华文楷体" w:eastAsia="华文楷体" w:hAnsi="华文楷体"/>
        </w:rPr>
      </w:pPr>
    </w:p>
    <w:p w14:paraId="73C669AF"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2017</w:t>
      </w:r>
      <w:r>
        <w:rPr>
          <w:rFonts w:ascii="华文楷体" w:eastAsia="华文楷体" w:hAnsi="华文楷体" w:hint="eastAsia"/>
        </w:rPr>
        <w:t>年</w:t>
      </w:r>
      <w:r>
        <w:rPr>
          <w:rFonts w:ascii="华文楷体" w:eastAsia="华文楷体" w:hAnsi="华文楷体" w:hint="eastAsia"/>
        </w:rPr>
        <w:t>10</w:t>
      </w:r>
      <w:r>
        <w:rPr>
          <w:rFonts w:ascii="华文楷体" w:eastAsia="华文楷体" w:hAnsi="华文楷体" w:hint="eastAsia"/>
        </w:rPr>
        <w:t>月</w:t>
      </w:r>
      <w:r>
        <w:rPr>
          <w:rFonts w:ascii="华文楷体" w:eastAsia="华文楷体" w:hAnsi="华文楷体" w:hint="eastAsia"/>
        </w:rPr>
        <w:t>24</w:t>
      </w:r>
      <w:r>
        <w:rPr>
          <w:rFonts w:ascii="华文楷体" w:eastAsia="华文楷体" w:hAnsi="华文楷体" w:hint="eastAsia"/>
        </w:rPr>
        <w:t>日，北京证监局举办辖区上市公司董监事第八期专题培训，辖区</w:t>
      </w:r>
      <w:r>
        <w:rPr>
          <w:rFonts w:ascii="华文楷体" w:eastAsia="华文楷体" w:hAnsi="华文楷体" w:hint="eastAsia"/>
        </w:rPr>
        <w:t>92</w:t>
      </w:r>
      <w:r>
        <w:rPr>
          <w:rFonts w:ascii="华文楷体" w:eastAsia="华文楷体" w:hAnsi="华文楷体" w:hint="eastAsia"/>
        </w:rPr>
        <w:t>家上市公司</w:t>
      </w:r>
      <w:r>
        <w:rPr>
          <w:rFonts w:ascii="华文楷体" w:eastAsia="华文楷体" w:hAnsi="华文楷体" w:hint="eastAsia"/>
        </w:rPr>
        <w:t>229</w:t>
      </w:r>
      <w:r>
        <w:rPr>
          <w:rFonts w:ascii="华文楷体" w:eastAsia="华文楷体" w:hAnsi="华文楷体" w:hint="eastAsia"/>
        </w:rPr>
        <w:t>位董事、监事参加此次培训。北京局党委书记、局长王建平同志做开班致辞，并进行“认清形势，剖析问题，推动辖区上市公司质量不断提升”专题授课。北京局公司一处处长孙林同志深入讲解日常监管现场检查遇到的突出问题。深圳市迪博风险管理技术有限公司创始人、财政部第三届内部控制标准委员会咨询专家胡为民介绍了公司内控评价体系与信息化建设。中国中车董事会秘书谢纪龙分享了关于上市公司内控建设的经验。</w:t>
      </w:r>
    </w:p>
    <w:p w14:paraId="1DD14A8C" w14:textId="77777777" w:rsidR="00ED5EBF" w:rsidRDefault="00ED5EBF">
      <w:pPr>
        <w:spacing w:line="360" w:lineRule="auto"/>
        <w:ind w:firstLineChars="200" w:firstLine="480"/>
        <w:rPr>
          <w:rFonts w:ascii="华文楷体" w:eastAsia="华文楷体" w:hAnsi="华文楷体"/>
        </w:rPr>
      </w:pPr>
    </w:p>
    <w:p w14:paraId="0125ACF6"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第九期·产业基金专题培训</w:t>
      </w:r>
    </w:p>
    <w:p w14:paraId="1D691384" w14:textId="77777777" w:rsidR="00ED5EBF" w:rsidRDefault="00ED5EBF">
      <w:pPr>
        <w:spacing w:line="360" w:lineRule="auto"/>
        <w:ind w:firstLineChars="200" w:firstLine="480"/>
        <w:rPr>
          <w:rFonts w:ascii="华文楷体" w:eastAsia="华文楷体" w:hAnsi="华文楷体"/>
        </w:rPr>
      </w:pPr>
    </w:p>
    <w:p w14:paraId="631E60A1"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201</w:t>
      </w:r>
      <w:r>
        <w:rPr>
          <w:rFonts w:ascii="华文楷体" w:eastAsia="华文楷体" w:hAnsi="华文楷体" w:hint="eastAsia"/>
        </w:rPr>
        <w:t>7</w:t>
      </w:r>
      <w:r>
        <w:rPr>
          <w:rFonts w:ascii="华文楷体" w:eastAsia="华文楷体" w:hAnsi="华文楷体" w:hint="eastAsia"/>
        </w:rPr>
        <w:t>年</w:t>
      </w:r>
      <w:r>
        <w:rPr>
          <w:rFonts w:ascii="华文楷体" w:eastAsia="华文楷体" w:hAnsi="华文楷体" w:hint="eastAsia"/>
        </w:rPr>
        <w:t>11</w:t>
      </w:r>
      <w:r>
        <w:rPr>
          <w:rFonts w:ascii="华文楷体" w:eastAsia="华文楷体" w:hAnsi="华文楷体" w:hint="eastAsia"/>
        </w:rPr>
        <w:t>月</w:t>
      </w:r>
      <w:r>
        <w:rPr>
          <w:rFonts w:ascii="华文楷体" w:eastAsia="华文楷体" w:hAnsi="华文楷体" w:hint="eastAsia"/>
        </w:rPr>
        <w:t>14</w:t>
      </w:r>
      <w:r>
        <w:rPr>
          <w:rFonts w:ascii="华文楷体" w:eastAsia="华文楷体" w:hAnsi="华文楷体" w:hint="eastAsia"/>
        </w:rPr>
        <w:t>日，北京证监局举办辖区上市公司董监事第九期专题培训，辖区</w:t>
      </w:r>
      <w:r>
        <w:rPr>
          <w:rFonts w:ascii="华文楷体" w:eastAsia="华文楷体" w:hAnsi="华文楷体" w:hint="eastAsia"/>
        </w:rPr>
        <w:t>107</w:t>
      </w:r>
      <w:r>
        <w:rPr>
          <w:rFonts w:ascii="华文楷体" w:eastAsia="华文楷体" w:hAnsi="华文楷体" w:hint="eastAsia"/>
        </w:rPr>
        <w:t>家上市公司的</w:t>
      </w:r>
      <w:r>
        <w:rPr>
          <w:rFonts w:ascii="华文楷体" w:eastAsia="华文楷体" w:hAnsi="华文楷体" w:hint="eastAsia"/>
        </w:rPr>
        <w:t>271</w:t>
      </w:r>
      <w:r>
        <w:rPr>
          <w:rFonts w:ascii="华文楷体" w:eastAsia="华文楷体" w:hAnsi="华文楷体" w:hint="eastAsia"/>
        </w:rPr>
        <w:t>名董事、监事参加此次培训。北京局党委委员、副局长陆倩同志进行专题授课，通报北京辖区上市公司监管情况并传达有关监管要求。深交所公司管理部助理经理胡文文系统讲述“</w:t>
      </w:r>
      <w:r>
        <w:rPr>
          <w:rFonts w:ascii="华文楷体" w:eastAsia="华文楷体" w:hAnsi="华文楷体" w:hint="eastAsia"/>
        </w:rPr>
        <w:t>PE+</w:t>
      </w:r>
      <w:r>
        <w:rPr>
          <w:rFonts w:ascii="华文楷体" w:eastAsia="华文楷体" w:hAnsi="华文楷体" w:hint="eastAsia"/>
        </w:rPr>
        <w:t>上市公司”模式的信息披露要求。资深产业基金专家张兵博士分享了对产业基金的建立、投资、投后管理及风险控制的观点。金杜律师事务所合伙人龚牧龙介绍了私募股权投资基金设立及运营相关法律问题。</w:t>
      </w:r>
    </w:p>
    <w:p w14:paraId="1F6DF63E" w14:textId="77777777" w:rsidR="00ED5EBF" w:rsidRDefault="00ED5EBF">
      <w:pPr>
        <w:spacing w:line="360" w:lineRule="auto"/>
        <w:ind w:firstLineChars="200" w:firstLine="480"/>
        <w:rPr>
          <w:rFonts w:ascii="华文楷体" w:eastAsia="华文楷体" w:hAnsi="华文楷体"/>
        </w:rPr>
      </w:pPr>
    </w:p>
    <w:p w14:paraId="588C59FA"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第十期·年报专题培训</w:t>
      </w:r>
    </w:p>
    <w:p w14:paraId="1B64A12B" w14:textId="77777777" w:rsidR="00ED5EBF" w:rsidRDefault="00ED5EBF">
      <w:pPr>
        <w:spacing w:line="360" w:lineRule="auto"/>
        <w:ind w:firstLineChars="200" w:firstLine="480"/>
        <w:rPr>
          <w:rFonts w:ascii="华文楷体" w:eastAsia="华文楷体" w:hAnsi="华文楷体"/>
        </w:rPr>
      </w:pPr>
    </w:p>
    <w:p w14:paraId="7E879DD3"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2017</w:t>
      </w:r>
      <w:r>
        <w:rPr>
          <w:rFonts w:ascii="华文楷体" w:eastAsia="华文楷体" w:hAnsi="华文楷体" w:hint="eastAsia"/>
        </w:rPr>
        <w:t>年</w:t>
      </w:r>
      <w:r>
        <w:rPr>
          <w:rFonts w:ascii="华文楷体" w:eastAsia="华文楷体" w:hAnsi="华文楷体" w:hint="eastAsia"/>
        </w:rPr>
        <w:t>12</w:t>
      </w:r>
      <w:r>
        <w:rPr>
          <w:rFonts w:ascii="华文楷体" w:eastAsia="华文楷体" w:hAnsi="华文楷体" w:hint="eastAsia"/>
        </w:rPr>
        <w:t>月</w:t>
      </w:r>
      <w:r>
        <w:rPr>
          <w:rFonts w:ascii="华文楷体" w:eastAsia="华文楷体" w:hAnsi="华文楷体" w:hint="eastAsia"/>
        </w:rPr>
        <w:t>6</w:t>
      </w:r>
      <w:r>
        <w:rPr>
          <w:rFonts w:ascii="华文楷体" w:eastAsia="华文楷体" w:hAnsi="华文楷体" w:hint="eastAsia"/>
        </w:rPr>
        <w:t>日，北京证监局举办辖区上市</w:t>
      </w:r>
      <w:r>
        <w:rPr>
          <w:rFonts w:ascii="华文楷体" w:eastAsia="华文楷体" w:hAnsi="华文楷体" w:hint="eastAsia"/>
        </w:rPr>
        <w:t>公司董监事第十期专题培训，辖区</w:t>
      </w:r>
      <w:r>
        <w:rPr>
          <w:rFonts w:ascii="华文楷体" w:eastAsia="华文楷体" w:hAnsi="华文楷体" w:hint="eastAsia"/>
        </w:rPr>
        <w:t>121</w:t>
      </w:r>
      <w:r>
        <w:rPr>
          <w:rFonts w:ascii="华文楷体" w:eastAsia="华文楷体" w:hAnsi="华文楷体" w:hint="eastAsia"/>
        </w:rPr>
        <w:t>家上市公司的</w:t>
      </w:r>
      <w:r>
        <w:rPr>
          <w:rFonts w:ascii="华文楷体" w:eastAsia="华文楷体" w:hAnsi="华文楷体" w:hint="eastAsia"/>
        </w:rPr>
        <w:t>303</w:t>
      </w:r>
      <w:r>
        <w:rPr>
          <w:rFonts w:ascii="华文楷体" w:eastAsia="华文楷体" w:hAnsi="华文楷体" w:hint="eastAsia"/>
        </w:rPr>
        <w:t>名董事、监事参加此次培训。北京局党委委员、副局长陆倩同志做开班致辞并在介绍辖区公司发展概况的基础上提出相关监管要求。证监会上市部专家王通平通报了上市公司年报监管要求，并就新修订的年报格式准则进行讲解。财政部会计司制度二处处长高大平全面解读新修订的《企业会计准则第</w:t>
      </w:r>
      <w:r>
        <w:rPr>
          <w:rFonts w:ascii="华文楷体" w:eastAsia="华文楷体" w:hAnsi="华文楷体" w:hint="eastAsia"/>
        </w:rPr>
        <w:t>14</w:t>
      </w:r>
      <w:r>
        <w:rPr>
          <w:rFonts w:ascii="华文楷体" w:eastAsia="华文楷体" w:hAnsi="华文楷体" w:hint="eastAsia"/>
        </w:rPr>
        <w:t>号——收入》，阐述了收入确认的原则、五步法等内容。小多金服董事长助理范志鹏系统介绍了上市公司年报工作重点关注问题。</w:t>
      </w:r>
    </w:p>
    <w:p w14:paraId="33BE9220" w14:textId="77777777" w:rsidR="00ED5EBF" w:rsidRDefault="00ED5EBF">
      <w:pPr>
        <w:spacing w:line="360" w:lineRule="auto"/>
        <w:ind w:firstLineChars="200" w:firstLine="480"/>
        <w:rPr>
          <w:rFonts w:ascii="华文楷体" w:eastAsia="华文楷体" w:hAnsi="华文楷体"/>
        </w:rPr>
      </w:pPr>
    </w:p>
    <w:p w14:paraId="30F8B3D0"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【投资者保护工作】</w:t>
      </w:r>
    </w:p>
    <w:p w14:paraId="5016F267" w14:textId="77777777" w:rsidR="00ED5EBF" w:rsidRDefault="00ED5EBF">
      <w:pPr>
        <w:spacing w:line="360" w:lineRule="auto"/>
        <w:ind w:firstLineChars="200" w:firstLine="480"/>
        <w:rPr>
          <w:rFonts w:ascii="华文楷体" w:eastAsia="华文楷体" w:hAnsi="华文楷体"/>
        </w:rPr>
      </w:pPr>
    </w:p>
    <w:p w14:paraId="1B5E29F8"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（一）投资者投诉举报处理</w:t>
      </w:r>
    </w:p>
    <w:p w14:paraId="067CCCB0" w14:textId="77777777" w:rsidR="00ED5EBF" w:rsidRDefault="00ED5EBF">
      <w:pPr>
        <w:spacing w:line="360" w:lineRule="auto"/>
        <w:ind w:firstLineChars="200" w:firstLine="480"/>
        <w:rPr>
          <w:rFonts w:ascii="华文楷体" w:eastAsia="华文楷体" w:hAnsi="华文楷体"/>
        </w:rPr>
      </w:pPr>
    </w:p>
    <w:p w14:paraId="7CC53B40"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2017</w:t>
      </w:r>
      <w:r>
        <w:rPr>
          <w:rFonts w:ascii="华文楷体" w:eastAsia="华文楷体" w:hAnsi="华文楷体" w:hint="eastAsia"/>
        </w:rPr>
        <w:t>年四季度，我局共</w:t>
      </w:r>
      <w:r>
        <w:rPr>
          <w:rFonts w:ascii="华文楷体" w:eastAsia="华文楷体" w:hAnsi="华文楷体" w:hint="eastAsia"/>
        </w:rPr>
        <w:t>处理投资者对上市公司的举报投诉</w:t>
      </w:r>
      <w:r>
        <w:rPr>
          <w:rFonts w:ascii="华文楷体" w:eastAsia="华文楷体" w:hAnsi="华文楷体" w:hint="eastAsia"/>
        </w:rPr>
        <w:t>61</w:t>
      </w:r>
      <w:r>
        <w:rPr>
          <w:rFonts w:ascii="华文楷体" w:eastAsia="华文楷体" w:hAnsi="华文楷体" w:hint="eastAsia"/>
        </w:rPr>
        <w:t>件，举报投诉反映的事项包括：公司股东大会设置分会场，损害小股东利益；公司欺诈消费者，损害投资者合法权益和社会公共利益；上市公司定期报告披露数据勾稽关系存疑；大股东超比例减持、违规减持；股东持股信息披露存在瑕疵；信息披露不及时、不充分；董事免职信息披露违规等。</w:t>
      </w:r>
    </w:p>
    <w:p w14:paraId="357EF2BF" w14:textId="77777777" w:rsidR="00ED5EBF" w:rsidRDefault="00ED5EBF">
      <w:pPr>
        <w:spacing w:line="360" w:lineRule="auto"/>
        <w:ind w:firstLineChars="200" w:firstLine="480"/>
        <w:rPr>
          <w:rFonts w:ascii="华文楷体" w:eastAsia="华文楷体" w:hAnsi="华文楷体"/>
        </w:rPr>
      </w:pPr>
    </w:p>
    <w:p w14:paraId="623363D3"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（二）“防控债券风险，做理性投资人”专项工作</w:t>
      </w:r>
    </w:p>
    <w:p w14:paraId="688978B5" w14:textId="77777777" w:rsidR="00ED5EBF" w:rsidRDefault="00ED5EBF">
      <w:pPr>
        <w:spacing w:line="360" w:lineRule="auto"/>
        <w:ind w:firstLineChars="200" w:firstLine="480"/>
        <w:rPr>
          <w:rFonts w:ascii="华文楷体" w:eastAsia="华文楷体" w:hAnsi="华文楷体"/>
        </w:rPr>
      </w:pPr>
    </w:p>
    <w:p w14:paraId="7CE89689"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根据证监会关于开展债券投资者权益保护教育专项活动的要求，北京局针对辖区发行公司债券的上市公司开展了以“防控债券风险，做理性投资人”为主题的专项工作。一是向债券发行人下发</w:t>
      </w:r>
      <w:r>
        <w:rPr>
          <w:rFonts w:ascii="华文楷体" w:eastAsia="华文楷体" w:hAnsi="华文楷体" w:hint="eastAsia"/>
        </w:rPr>
        <w:t>《北京证监局关于开展公司债券投资者权益保护教育专项活动的通知》，向公司重点申明有关信息披露、募集资金使用、承诺履行、债券持有人会议及债券付息、兑付与回售等法定义务。二是借助权威媒体发声、充分利用自律组织宣传平台，联系新华网、北京上市公司协会在网站上发布了债券发行人《倡议书》，倡导共同维护债券市场健康发展和良好公众形象，保护投资者合法权益，形成了多层次、立体化的宣传效果。三是要求各债券发行人广泛开展债券知识普及和风险提示，帮助投资者了解债券投资法律法规，明晰权利义务以及依法维权途径，提高风险识别能力和自我保护</w:t>
      </w:r>
      <w:r>
        <w:rPr>
          <w:rFonts w:ascii="华文楷体" w:eastAsia="华文楷体" w:hAnsi="华文楷体" w:hint="eastAsia"/>
        </w:rPr>
        <w:t>能力。通过本次专项工作，从公司内部员工到外部投资人，都对债券投资者权益保护有了进一步了解。</w:t>
      </w:r>
    </w:p>
    <w:p w14:paraId="01E3FD5C" w14:textId="77777777" w:rsidR="00ED5EBF" w:rsidRDefault="00ED5EBF">
      <w:pPr>
        <w:spacing w:line="360" w:lineRule="auto"/>
        <w:ind w:firstLineChars="200" w:firstLine="480"/>
        <w:rPr>
          <w:rFonts w:ascii="华文楷体" w:eastAsia="华文楷体" w:hAnsi="华文楷体"/>
        </w:rPr>
      </w:pPr>
    </w:p>
    <w:p w14:paraId="227B6201"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【现场检查工作】</w:t>
      </w:r>
    </w:p>
    <w:p w14:paraId="726B80F3" w14:textId="77777777" w:rsidR="00ED5EBF" w:rsidRDefault="00ED5EBF">
      <w:pPr>
        <w:spacing w:line="360" w:lineRule="auto"/>
        <w:ind w:firstLineChars="200" w:firstLine="480"/>
        <w:rPr>
          <w:rFonts w:ascii="华文楷体" w:eastAsia="华文楷体" w:hAnsi="华文楷体"/>
        </w:rPr>
      </w:pPr>
    </w:p>
    <w:p w14:paraId="213EF127"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（一）“双随机”检查</w:t>
      </w:r>
    </w:p>
    <w:p w14:paraId="06B616D9" w14:textId="77777777" w:rsidR="00ED5EBF" w:rsidRDefault="00ED5EBF">
      <w:pPr>
        <w:spacing w:line="360" w:lineRule="auto"/>
        <w:ind w:firstLineChars="200" w:firstLine="480"/>
        <w:rPr>
          <w:rFonts w:ascii="华文楷体" w:eastAsia="华文楷体" w:hAnsi="华文楷体"/>
        </w:rPr>
      </w:pPr>
    </w:p>
    <w:p w14:paraId="129746B8"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根据《国务院办公厅关于推广随机抽查规范事中事后监管的通知》《关于印发中国证监会推广随机抽查工作实施方案的通知》《北京证监局上市公司现场检查随机抽查工作实施方案》的相关规定，结合年度监管工作安排及本年度“双随机”抽取结果，我局</w:t>
      </w:r>
      <w:r>
        <w:rPr>
          <w:rFonts w:ascii="华文楷体" w:eastAsia="华文楷体" w:hAnsi="华文楷体" w:hint="eastAsia"/>
        </w:rPr>
        <w:t>2017</w:t>
      </w:r>
      <w:r>
        <w:rPr>
          <w:rFonts w:ascii="华文楷体" w:eastAsia="华文楷体" w:hAnsi="华文楷体" w:hint="eastAsia"/>
        </w:rPr>
        <w:t>年第四季度实施了对</w:t>
      </w:r>
      <w:r>
        <w:rPr>
          <w:rFonts w:ascii="华文楷体" w:eastAsia="华文楷体" w:hAnsi="华文楷体" w:hint="eastAsia"/>
        </w:rPr>
        <w:t>3</w:t>
      </w:r>
      <w:r>
        <w:rPr>
          <w:rFonts w:ascii="华文楷体" w:eastAsia="华文楷体" w:hAnsi="华文楷体" w:hint="eastAsia"/>
        </w:rPr>
        <w:t>家主板公司、</w:t>
      </w:r>
      <w:r>
        <w:rPr>
          <w:rFonts w:ascii="华文楷体" w:eastAsia="华文楷体" w:hAnsi="华文楷体" w:hint="eastAsia"/>
        </w:rPr>
        <w:t>1</w:t>
      </w:r>
      <w:r>
        <w:rPr>
          <w:rFonts w:ascii="华文楷体" w:eastAsia="华文楷体" w:hAnsi="华文楷体" w:hint="eastAsia"/>
        </w:rPr>
        <w:t>家中小板公司、</w:t>
      </w:r>
      <w:r>
        <w:rPr>
          <w:rFonts w:ascii="华文楷体" w:eastAsia="华文楷体" w:hAnsi="华文楷体" w:hint="eastAsia"/>
        </w:rPr>
        <w:t>2</w:t>
      </w:r>
      <w:r>
        <w:rPr>
          <w:rFonts w:ascii="华文楷体" w:eastAsia="华文楷体" w:hAnsi="华文楷体" w:hint="eastAsia"/>
        </w:rPr>
        <w:t>家创业板公司的“双随机”现场检查，并根据检查情况采取相应监管措施，督促公司进一步提高公司治理及规范运作、财务核算等方面水平。</w:t>
      </w:r>
    </w:p>
    <w:p w14:paraId="5080CA0C" w14:textId="77777777" w:rsidR="00ED5EBF" w:rsidRDefault="00ED5EBF">
      <w:pPr>
        <w:spacing w:line="360" w:lineRule="auto"/>
        <w:ind w:firstLineChars="200" w:firstLine="480"/>
        <w:rPr>
          <w:rFonts w:ascii="华文楷体" w:eastAsia="华文楷体" w:hAnsi="华文楷体"/>
        </w:rPr>
      </w:pPr>
    </w:p>
    <w:p w14:paraId="77D419F4"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检查中发现的问题包括：一是公司治理及规范运作方面，《公司章程》《股东大会议事规则》《董事会议事规则》《</w:t>
      </w:r>
      <w:r>
        <w:rPr>
          <w:rFonts w:ascii="华文楷体" w:eastAsia="华文楷体" w:hAnsi="华文楷体" w:hint="eastAsia"/>
        </w:rPr>
        <w:t>总经理工作细则》《对外投资管理办法》《募集资金管理制度》等制度制定及执行不规范，管理不够规范。二是财务核算与列报方面，并购会计处理不规范，购买日的认定不准确，商誉、或有对价的计量与列报不准确；股权激励会计处理不规范，限制性股票授予日的公允价值计量不准确，严重低估股权激励费用；资产减值测试不规范、减值计提不谨慎，对固定资产、无形资产、商誉等非流动资产未按会计准则要求进行减值测试，应收账款坏账准备计提不充分；收入成本核算不规范，收入确认依据不充分，将销售返点冲减营业收入的会计处理违反企业会计准则，将采购返利冲抵</w:t>
      </w:r>
      <w:r>
        <w:rPr>
          <w:rFonts w:ascii="华文楷体" w:eastAsia="华文楷体" w:hAnsi="华文楷体" w:hint="eastAsia"/>
        </w:rPr>
        <w:t>营业成本的会计处理不及时；费用核算不规范，未确认向控股股东借款的利息费用。</w:t>
      </w:r>
    </w:p>
    <w:p w14:paraId="1EF49F8D" w14:textId="77777777" w:rsidR="00ED5EBF" w:rsidRDefault="00ED5EBF">
      <w:pPr>
        <w:spacing w:line="360" w:lineRule="auto"/>
        <w:ind w:firstLineChars="200" w:firstLine="480"/>
        <w:rPr>
          <w:rFonts w:ascii="华文楷体" w:eastAsia="华文楷体" w:hAnsi="华文楷体"/>
        </w:rPr>
      </w:pPr>
    </w:p>
    <w:p w14:paraId="2999AC15"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（二）风险公司专项检查</w:t>
      </w:r>
    </w:p>
    <w:p w14:paraId="076B5C87" w14:textId="77777777" w:rsidR="00ED5EBF" w:rsidRDefault="00ED5EBF">
      <w:pPr>
        <w:spacing w:line="360" w:lineRule="auto"/>
        <w:ind w:firstLineChars="200" w:firstLine="480"/>
        <w:rPr>
          <w:rFonts w:ascii="华文楷体" w:eastAsia="华文楷体" w:hAnsi="华文楷体"/>
        </w:rPr>
      </w:pPr>
    </w:p>
    <w:p w14:paraId="3CC951AD"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根据证监会上市部统一部署及深交所监管协作安排，我局于</w:t>
      </w:r>
      <w:r>
        <w:rPr>
          <w:rFonts w:ascii="华文楷体" w:eastAsia="华文楷体" w:hAnsi="华文楷体" w:hint="eastAsia"/>
        </w:rPr>
        <w:t>2017</w:t>
      </w:r>
      <w:r>
        <w:rPr>
          <w:rFonts w:ascii="华文楷体" w:eastAsia="华文楷体" w:hAnsi="华文楷体" w:hint="eastAsia"/>
        </w:rPr>
        <w:t>年第四季度对</w:t>
      </w:r>
      <w:r>
        <w:rPr>
          <w:rFonts w:ascii="华文楷体" w:eastAsia="华文楷体" w:hAnsi="华文楷体" w:hint="eastAsia"/>
        </w:rPr>
        <w:t>4</w:t>
      </w:r>
      <w:r>
        <w:rPr>
          <w:rFonts w:ascii="华文楷体" w:eastAsia="华文楷体" w:hAnsi="华文楷体" w:hint="eastAsia"/>
        </w:rPr>
        <w:t>家风险公司进行了专项检查，重点关注</w:t>
      </w:r>
      <w:r>
        <w:rPr>
          <w:rFonts w:ascii="华文楷体" w:eastAsia="华文楷体" w:hAnsi="华文楷体" w:hint="eastAsia"/>
        </w:rPr>
        <w:t>2016</w:t>
      </w:r>
      <w:r>
        <w:rPr>
          <w:rFonts w:ascii="华文楷体" w:eastAsia="华文楷体" w:hAnsi="华文楷体" w:hint="eastAsia"/>
        </w:rPr>
        <w:t>年年报等相关信息披露的合规性，发现如下问题。一是与财务报告相关的内部控制存在重大缺陷，业务部门、财务部门对收入核算原始依据的生成及其内部传递未建立起有效的复核与监督机制，导致营业收入披露数据出现重大调整。二是收入与毛利确认不谨慎，未将造价金额尚不确定的洽商变更项目认定为结果不能可靠估计的交易</w:t>
      </w:r>
      <w:r>
        <w:rPr>
          <w:rFonts w:ascii="华文楷体" w:eastAsia="华文楷体" w:hAnsi="华文楷体" w:hint="eastAsia"/>
        </w:rPr>
        <w:t>。三是工程施工成本核算不规范、列报不准确，未根据材料、人工的实际投入情况进行成本暂估，部分施工费归集不完整，导致工程施工成本的核算结果不能真实准确地反映工程项目的实际进展状况。四是营业成本结转不规范，存在按照经验比率乘以完工项目收入金额结转直接材料费、施工费的情形，相关间接费用分配方法不合理，导致未能真实准确地核算已完工项目营业成本。五是存货减值测试方法存在缺陷，减值测试时未准确核算单个项目存货账面成本，减值测试预估销售费用不准确，减值测试未充分考虑后续费用支出情况。六是部分资产、负债科目核算与列报不规范，</w:t>
      </w:r>
      <w:r>
        <w:rPr>
          <w:rFonts w:ascii="华文楷体" w:eastAsia="华文楷体" w:hAnsi="华文楷体" w:hint="eastAsia"/>
        </w:rPr>
        <w:t>应收账款账龄划分不准确，应收账款余额列示不准确，应付账款和预收款项重分类列报错误，与合同项目相关的资产及相关债权债务列报不完整。</w:t>
      </w:r>
    </w:p>
    <w:p w14:paraId="124F4140" w14:textId="77777777" w:rsidR="00ED5EBF" w:rsidRDefault="00ED5EBF">
      <w:pPr>
        <w:spacing w:line="360" w:lineRule="auto"/>
        <w:ind w:firstLineChars="200" w:firstLine="480"/>
        <w:rPr>
          <w:rFonts w:ascii="华文楷体" w:eastAsia="华文楷体" w:hAnsi="华文楷体"/>
        </w:rPr>
      </w:pPr>
    </w:p>
    <w:p w14:paraId="05870135"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（三）举报专项检查</w:t>
      </w:r>
    </w:p>
    <w:p w14:paraId="2745F046" w14:textId="77777777" w:rsidR="00ED5EBF" w:rsidRDefault="00ED5EBF">
      <w:pPr>
        <w:spacing w:line="360" w:lineRule="auto"/>
        <w:ind w:firstLineChars="200" w:firstLine="480"/>
        <w:rPr>
          <w:rFonts w:ascii="华文楷体" w:eastAsia="华文楷体" w:hAnsi="华文楷体"/>
        </w:rPr>
      </w:pPr>
    </w:p>
    <w:p w14:paraId="411F72BD"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为深入贯彻依法、全面、从严监管的理念，扎实做好保护投资者合法权益工作，</w:t>
      </w:r>
      <w:r>
        <w:rPr>
          <w:rFonts w:ascii="华文楷体" w:eastAsia="华文楷体" w:hAnsi="华文楷体" w:hint="eastAsia"/>
        </w:rPr>
        <w:t>2017</w:t>
      </w:r>
      <w:r>
        <w:rPr>
          <w:rFonts w:ascii="华文楷体" w:eastAsia="华文楷体" w:hAnsi="华文楷体" w:hint="eastAsia"/>
        </w:rPr>
        <w:t>年第四季度，我局对辖区</w:t>
      </w:r>
      <w:r>
        <w:rPr>
          <w:rFonts w:ascii="华文楷体" w:eastAsia="华文楷体" w:hAnsi="华文楷体" w:hint="eastAsia"/>
        </w:rPr>
        <w:t>2</w:t>
      </w:r>
      <w:r>
        <w:rPr>
          <w:rFonts w:ascii="华文楷体" w:eastAsia="华文楷体" w:hAnsi="华文楷体" w:hint="eastAsia"/>
        </w:rPr>
        <w:t>家上市公司开展举报专项现场事项，重点核实举报线索是否属实；同时进行适当延伸，排查公司是否存在相关违法违规行为。</w:t>
      </w:r>
    </w:p>
    <w:p w14:paraId="6E81972C" w14:textId="77777777" w:rsidR="00ED5EBF" w:rsidRDefault="00ED5EBF">
      <w:pPr>
        <w:spacing w:line="360" w:lineRule="auto"/>
        <w:ind w:firstLineChars="200" w:firstLine="480"/>
        <w:rPr>
          <w:rFonts w:ascii="华文楷体" w:eastAsia="华文楷体" w:hAnsi="华文楷体"/>
        </w:rPr>
      </w:pPr>
    </w:p>
    <w:p w14:paraId="7C915D01"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此外，本季度我局根据证监会发行部交办要求，对辖区</w:t>
      </w:r>
      <w:r>
        <w:rPr>
          <w:rFonts w:ascii="华文楷体" w:eastAsia="华文楷体" w:hAnsi="华文楷体" w:hint="eastAsia"/>
        </w:rPr>
        <w:t>2</w:t>
      </w:r>
      <w:r>
        <w:rPr>
          <w:rFonts w:ascii="华文楷体" w:eastAsia="华文楷体" w:hAnsi="华文楷体" w:hint="eastAsia"/>
        </w:rPr>
        <w:t>家拟上市公司开展举报专项核查，通过约谈公司相关负责人、调取财务账簿、查阅原始会计凭证等方式，</w:t>
      </w:r>
      <w:r>
        <w:rPr>
          <w:rFonts w:ascii="华文楷体" w:eastAsia="华文楷体" w:hAnsi="华文楷体" w:hint="eastAsia"/>
        </w:rPr>
        <w:t>对公司相关财务数据的真实性、准确性进行核查。</w:t>
      </w:r>
    </w:p>
    <w:p w14:paraId="6FA9F076" w14:textId="77777777" w:rsidR="00ED5EBF" w:rsidRDefault="00ED5EBF">
      <w:pPr>
        <w:spacing w:line="360" w:lineRule="auto"/>
        <w:ind w:firstLineChars="200" w:firstLine="480"/>
        <w:rPr>
          <w:rFonts w:ascii="华文楷体" w:eastAsia="华文楷体" w:hAnsi="华文楷体"/>
        </w:rPr>
      </w:pPr>
    </w:p>
    <w:p w14:paraId="657ADDDE"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（四）首发走访</w:t>
      </w:r>
    </w:p>
    <w:p w14:paraId="359E895B" w14:textId="77777777" w:rsidR="00ED5EBF" w:rsidRDefault="00ED5EBF">
      <w:pPr>
        <w:spacing w:line="360" w:lineRule="auto"/>
        <w:ind w:firstLineChars="200" w:firstLine="480"/>
        <w:rPr>
          <w:rFonts w:ascii="华文楷体" w:eastAsia="华文楷体" w:hAnsi="华文楷体"/>
        </w:rPr>
      </w:pPr>
    </w:p>
    <w:p w14:paraId="1E083DA1"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按照证监会发行部工作要求，依据《首次公开发行股票并上市管理办法》《关于进一步提高首次公开发行股票公司财务信息披露质量有关问题的意见》等法律法规，本季度我局对</w:t>
      </w:r>
      <w:r>
        <w:rPr>
          <w:rFonts w:ascii="华文楷体" w:eastAsia="华文楷体" w:hAnsi="华文楷体" w:hint="eastAsia"/>
        </w:rPr>
        <w:t>4</w:t>
      </w:r>
      <w:r>
        <w:rPr>
          <w:rFonts w:ascii="华文楷体" w:eastAsia="华文楷体" w:hAnsi="华文楷体" w:hint="eastAsia"/>
        </w:rPr>
        <w:t>家首发上市公司进行现场检查，结合</w:t>
      </w:r>
      <w:r>
        <w:rPr>
          <w:rFonts w:ascii="华文楷体" w:eastAsia="华文楷体" w:hAnsi="华文楷体" w:hint="eastAsia"/>
        </w:rPr>
        <w:t>IPO</w:t>
      </w:r>
      <w:r>
        <w:rPr>
          <w:rFonts w:ascii="华文楷体" w:eastAsia="华文楷体" w:hAnsi="华文楷体" w:hint="eastAsia"/>
        </w:rPr>
        <w:t>审核关注的主要问题及公司实际情况，对收入循环、固定资产和在建工程循环、资金循环及合并报表的会计处理给予关注。</w:t>
      </w:r>
    </w:p>
    <w:p w14:paraId="3D310D99" w14:textId="77777777" w:rsidR="00ED5EBF" w:rsidRDefault="00ED5EBF">
      <w:pPr>
        <w:spacing w:line="360" w:lineRule="auto"/>
        <w:ind w:firstLineChars="200" w:firstLine="480"/>
        <w:rPr>
          <w:rFonts w:ascii="华文楷体" w:eastAsia="华文楷体" w:hAnsi="华文楷体"/>
        </w:rPr>
      </w:pPr>
    </w:p>
    <w:p w14:paraId="1DE384B2"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【监管案例】</w:t>
      </w:r>
    </w:p>
    <w:p w14:paraId="3C665989" w14:textId="77777777" w:rsidR="00ED5EBF" w:rsidRDefault="00ED5EBF">
      <w:pPr>
        <w:spacing w:line="360" w:lineRule="auto"/>
        <w:ind w:firstLineChars="200" w:firstLine="480"/>
        <w:rPr>
          <w:rFonts w:ascii="华文楷体" w:eastAsia="华文楷体" w:hAnsi="华文楷体"/>
        </w:rPr>
      </w:pPr>
    </w:p>
    <w:p w14:paraId="3D85B170"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案例</w:t>
      </w:r>
      <w:r>
        <w:rPr>
          <w:rFonts w:ascii="华文楷体" w:eastAsia="华文楷体" w:hAnsi="华文楷体" w:hint="eastAsia"/>
        </w:rPr>
        <w:t>1</w:t>
      </w:r>
      <w:r>
        <w:rPr>
          <w:rFonts w:ascii="华文楷体" w:eastAsia="华文楷体" w:hAnsi="华文楷体" w:hint="eastAsia"/>
        </w:rPr>
        <w:t>：大股东拒绝履行承诺</w:t>
      </w:r>
    </w:p>
    <w:p w14:paraId="4CF4F944" w14:textId="77777777" w:rsidR="00ED5EBF" w:rsidRDefault="00ED5EBF">
      <w:pPr>
        <w:spacing w:line="360" w:lineRule="auto"/>
        <w:ind w:firstLineChars="200" w:firstLine="480"/>
        <w:rPr>
          <w:rFonts w:ascii="华文楷体" w:eastAsia="华文楷体" w:hAnsi="华文楷体"/>
        </w:rPr>
      </w:pPr>
    </w:p>
    <w:p w14:paraId="6D0B8EE6"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A</w:t>
      </w:r>
      <w:r>
        <w:rPr>
          <w:rFonts w:ascii="华文楷体" w:eastAsia="华文楷体" w:hAnsi="华文楷体" w:hint="eastAsia"/>
        </w:rPr>
        <w:t>公司大股东及一致行动人承诺减持股票所得资金全部借给公司作为营运资金使用，免收利息。后其又明</w:t>
      </w:r>
      <w:r>
        <w:rPr>
          <w:rFonts w:ascii="华文楷体" w:eastAsia="华文楷体" w:hAnsi="华文楷体" w:hint="eastAsia"/>
        </w:rPr>
        <w:t>确表示无力继续履行对上市公司无息借款的承诺，并在上市公司经营困难之际抽回全部借款，拒绝履行承诺，严重损害上市公司及广大中小投资者的切身利益。上述行为违反了《上市公司监管指引第</w:t>
      </w:r>
      <w:r>
        <w:rPr>
          <w:rFonts w:ascii="华文楷体" w:eastAsia="华文楷体" w:hAnsi="华文楷体" w:hint="eastAsia"/>
        </w:rPr>
        <w:t>4</w:t>
      </w:r>
      <w:r>
        <w:rPr>
          <w:rFonts w:ascii="华文楷体" w:eastAsia="华文楷体" w:hAnsi="华文楷体" w:hint="eastAsia"/>
        </w:rPr>
        <w:t>号</w:t>
      </w:r>
      <w:r>
        <w:rPr>
          <w:rFonts w:ascii="华文楷体" w:eastAsia="华文楷体" w:hAnsi="华文楷体" w:hint="eastAsia"/>
        </w:rPr>
        <w:t>--</w:t>
      </w:r>
      <w:r>
        <w:rPr>
          <w:rFonts w:ascii="华文楷体" w:eastAsia="华文楷体" w:hAnsi="华文楷体" w:hint="eastAsia"/>
        </w:rPr>
        <w:t>上市公司实际控制人、股东、关联方、收购人以及上市公司承诺及履行》第六条、《上市公司信息披露管理办法》第二条及《证券期货市场诚信监督管理暂行办法》第三十九条的规定。</w:t>
      </w:r>
    </w:p>
    <w:p w14:paraId="6F760EA7" w14:textId="77777777" w:rsidR="00ED5EBF" w:rsidRDefault="00ED5EBF">
      <w:pPr>
        <w:spacing w:line="360" w:lineRule="auto"/>
        <w:ind w:firstLineChars="200" w:firstLine="480"/>
        <w:rPr>
          <w:rFonts w:ascii="华文楷体" w:eastAsia="华文楷体" w:hAnsi="华文楷体"/>
        </w:rPr>
      </w:pPr>
    </w:p>
    <w:p w14:paraId="1F1D1BAC"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根据《上市公司信息披露管理办法》第五十九条、《证券期货市场诚信监督管理暂行办法》第三十九条的规定，对相关责任人采取责令改正的监管措施。</w:t>
      </w:r>
    </w:p>
    <w:p w14:paraId="3ABB6AD4" w14:textId="77777777" w:rsidR="00ED5EBF" w:rsidRDefault="00ED5EBF">
      <w:pPr>
        <w:spacing w:line="360" w:lineRule="auto"/>
        <w:ind w:firstLineChars="200" w:firstLine="480"/>
        <w:rPr>
          <w:rFonts w:ascii="华文楷体" w:eastAsia="华文楷体" w:hAnsi="华文楷体"/>
        </w:rPr>
      </w:pPr>
    </w:p>
    <w:p w14:paraId="42FE1C95"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案例</w:t>
      </w:r>
      <w:r>
        <w:rPr>
          <w:rFonts w:ascii="华文楷体" w:eastAsia="华文楷体" w:hAnsi="华文楷体" w:hint="eastAsia"/>
        </w:rPr>
        <w:t>2</w:t>
      </w:r>
      <w:r>
        <w:rPr>
          <w:rFonts w:ascii="华文楷体" w:eastAsia="华文楷体" w:hAnsi="华文楷体" w:hint="eastAsia"/>
        </w:rPr>
        <w:t>：</w:t>
      </w:r>
      <w:r>
        <w:rPr>
          <w:rFonts w:ascii="华文楷体" w:eastAsia="华文楷体" w:hAnsi="华文楷体" w:hint="eastAsia"/>
        </w:rPr>
        <w:t>5%</w:t>
      </w:r>
      <w:r>
        <w:rPr>
          <w:rFonts w:ascii="华文楷体" w:eastAsia="华文楷体" w:hAnsi="华文楷体" w:hint="eastAsia"/>
        </w:rPr>
        <w:t>以上股东违规减</w:t>
      </w:r>
      <w:r>
        <w:rPr>
          <w:rFonts w:ascii="华文楷体" w:eastAsia="华文楷体" w:hAnsi="华文楷体" w:hint="eastAsia"/>
        </w:rPr>
        <w:t>持股份</w:t>
      </w:r>
    </w:p>
    <w:p w14:paraId="299B6A9B" w14:textId="77777777" w:rsidR="00ED5EBF" w:rsidRDefault="00ED5EBF">
      <w:pPr>
        <w:spacing w:line="360" w:lineRule="auto"/>
        <w:ind w:firstLineChars="200" w:firstLine="480"/>
        <w:rPr>
          <w:rFonts w:ascii="华文楷体" w:eastAsia="华文楷体" w:hAnsi="华文楷体"/>
        </w:rPr>
      </w:pPr>
    </w:p>
    <w:p w14:paraId="4A55740E"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B</w:t>
      </w:r>
      <w:r>
        <w:rPr>
          <w:rFonts w:ascii="华文楷体" w:eastAsia="华文楷体" w:hAnsi="华文楷体" w:hint="eastAsia"/>
        </w:rPr>
        <w:t>上市公司持股</w:t>
      </w:r>
      <w:r>
        <w:rPr>
          <w:rFonts w:ascii="华文楷体" w:eastAsia="华文楷体" w:hAnsi="华文楷体" w:hint="eastAsia"/>
        </w:rPr>
        <w:t>5%</w:t>
      </w:r>
      <w:r>
        <w:rPr>
          <w:rFonts w:ascii="华文楷体" w:eastAsia="华文楷体" w:hAnsi="华文楷体" w:hint="eastAsia"/>
        </w:rPr>
        <w:t>以上股东，在持有公司股份比例变动达</w:t>
      </w:r>
      <w:r>
        <w:rPr>
          <w:rFonts w:ascii="华文楷体" w:eastAsia="华文楷体" w:hAnsi="华文楷体" w:hint="eastAsia"/>
        </w:rPr>
        <w:t>5%</w:t>
      </w:r>
      <w:r>
        <w:rPr>
          <w:rFonts w:ascii="华文楷体" w:eastAsia="华文楷体" w:hAnsi="华文楷体" w:hint="eastAsia"/>
        </w:rPr>
        <w:t>时，未及时提交书面报告并披露权益变动报告书，且未在履行报告和披露义务前停止买卖股票。同时，该股东通过证券交易系统以集中竞价交易方式累计减持股份</w:t>
      </w:r>
      <w:r>
        <w:rPr>
          <w:rFonts w:ascii="华文楷体" w:eastAsia="华文楷体" w:hAnsi="华文楷体" w:hint="eastAsia"/>
        </w:rPr>
        <w:t>2,606,950</w:t>
      </w:r>
      <w:r>
        <w:rPr>
          <w:rFonts w:ascii="华文楷体" w:eastAsia="华文楷体" w:hAnsi="华文楷体" w:hint="eastAsia"/>
        </w:rPr>
        <w:t>股，减持比例达</w:t>
      </w:r>
      <w:r>
        <w:rPr>
          <w:rFonts w:ascii="华文楷体" w:eastAsia="华文楷体" w:hAnsi="华文楷体" w:hint="eastAsia"/>
        </w:rPr>
        <w:t>1.85%</w:t>
      </w:r>
      <w:r>
        <w:rPr>
          <w:rFonts w:ascii="华文楷体" w:eastAsia="华文楷体" w:hAnsi="华文楷体" w:hint="eastAsia"/>
        </w:rPr>
        <w:t>。上述行为违反了《上市公司收购管理办法》第十三条、《上市公司大股东、董监高减持股份的若干规定》第九条的规定。根据《上市公司收购管理办法》第七十五条的规定，对该股东采取责令改正及监管谈话监管措施。</w:t>
      </w:r>
    </w:p>
    <w:p w14:paraId="4B521C52" w14:textId="77777777" w:rsidR="00ED5EBF" w:rsidRDefault="00ED5EBF">
      <w:pPr>
        <w:spacing w:line="360" w:lineRule="auto"/>
        <w:ind w:firstLineChars="200" w:firstLine="480"/>
        <w:rPr>
          <w:rFonts w:ascii="华文楷体" w:eastAsia="华文楷体" w:hAnsi="华文楷体"/>
        </w:rPr>
      </w:pPr>
    </w:p>
    <w:p w14:paraId="28154A76"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案例</w:t>
      </w:r>
      <w:r>
        <w:rPr>
          <w:rFonts w:ascii="华文楷体" w:eastAsia="华文楷体" w:hAnsi="华文楷体" w:hint="eastAsia"/>
        </w:rPr>
        <w:t>3</w:t>
      </w:r>
      <w:r>
        <w:rPr>
          <w:rFonts w:ascii="华文楷体" w:eastAsia="华文楷体" w:hAnsi="华文楷体" w:hint="eastAsia"/>
        </w:rPr>
        <w:t>：</w:t>
      </w:r>
      <w:r>
        <w:rPr>
          <w:rFonts w:ascii="华文楷体" w:eastAsia="华文楷体" w:hAnsi="华文楷体" w:hint="eastAsia"/>
        </w:rPr>
        <w:t>5%</w:t>
      </w:r>
      <w:r>
        <w:rPr>
          <w:rFonts w:ascii="华文楷体" w:eastAsia="华文楷体" w:hAnsi="华文楷体" w:hint="eastAsia"/>
        </w:rPr>
        <w:t>以上股东违反承诺未履行信息披露义务</w:t>
      </w:r>
    </w:p>
    <w:p w14:paraId="53D64E15" w14:textId="77777777" w:rsidR="00ED5EBF" w:rsidRDefault="00ED5EBF">
      <w:pPr>
        <w:spacing w:line="360" w:lineRule="auto"/>
        <w:ind w:firstLineChars="200" w:firstLine="480"/>
        <w:rPr>
          <w:rFonts w:ascii="华文楷体" w:eastAsia="华文楷体" w:hAnsi="华文楷体"/>
        </w:rPr>
      </w:pPr>
    </w:p>
    <w:p w14:paraId="5F7E64D4"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C</w:t>
      </w:r>
      <w:r>
        <w:rPr>
          <w:rFonts w:ascii="华文楷体" w:eastAsia="华文楷体" w:hAnsi="华文楷体" w:hint="eastAsia"/>
        </w:rPr>
        <w:t>公司持股</w:t>
      </w:r>
      <w:r>
        <w:rPr>
          <w:rFonts w:ascii="华文楷体" w:eastAsia="华文楷体" w:hAnsi="华文楷体" w:hint="eastAsia"/>
        </w:rPr>
        <w:t>5%</w:t>
      </w:r>
      <w:r>
        <w:rPr>
          <w:rFonts w:ascii="华文楷体" w:eastAsia="华文楷体" w:hAnsi="华文楷体" w:hint="eastAsia"/>
        </w:rPr>
        <w:t>以上股东在减持股票前，未按照其在招股说明书中承诺事项“由发行人在减持前三个交易日予以公告”进行信息披露。相关减持行为未依据承诺履行相关信息披露义务，违反了《上市公司监管指引第</w:t>
      </w:r>
      <w:r>
        <w:rPr>
          <w:rFonts w:ascii="华文楷体" w:eastAsia="华文楷体" w:hAnsi="华文楷体" w:hint="eastAsia"/>
        </w:rPr>
        <w:t>4</w:t>
      </w:r>
      <w:r>
        <w:rPr>
          <w:rFonts w:ascii="华文楷体" w:eastAsia="华文楷体" w:hAnsi="华文楷体" w:hint="eastAsia"/>
        </w:rPr>
        <w:t>号——上市公司实际控制人、股东、关联方、收购人以及上市公司承诺及履行》第六条、《上市公司信息披露管理办法》第二条以及《证券期货市场诚信监督管理暂行办法》第三十九条的规定。根据《上市公司信息披露管理办法》第五十九条及《证券期货市场诚信监督管理暂行办法》第三十九条的规定，对其采取责令改正监管措施。</w:t>
      </w:r>
    </w:p>
    <w:p w14:paraId="0EEEF3C2" w14:textId="77777777" w:rsidR="00ED5EBF" w:rsidRDefault="00ED5EBF">
      <w:pPr>
        <w:spacing w:line="360" w:lineRule="auto"/>
        <w:ind w:firstLineChars="200" w:firstLine="480"/>
        <w:rPr>
          <w:rFonts w:ascii="华文楷体" w:eastAsia="华文楷体" w:hAnsi="华文楷体"/>
        </w:rPr>
      </w:pPr>
    </w:p>
    <w:p w14:paraId="000A0BAF"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案例</w:t>
      </w:r>
      <w:r>
        <w:rPr>
          <w:rFonts w:ascii="华文楷体" w:eastAsia="华文楷体" w:hAnsi="华文楷体" w:hint="eastAsia"/>
        </w:rPr>
        <w:t>4</w:t>
      </w:r>
      <w:r>
        <w:rPr>
          <w:rFonts w:ascii="华文楷体" w:eastAsia="华文楷体" w:hAnsi="华文楷体" w:hint="eastAsia"/>
        </w:rPr>
        <w:t>：公司定期报告信息</w:t>
      </w:r>
      <w:r>
        <w:rPr>
          <w:rFonts w:ascii="华文楷体" w:eastAsia="华文楷体" w:hAnsi="华文楷体" w:hint="eastAsia"/>
        </w:rPr>
        <w:t>披露不准确</w:t>
      </w:r>
    </w:p>
    <w:p w14:paraId="1C6EE083" w14:textId="77777777" w:rsidR="00ED5EBF" w:rsidRDefault="00ED5EBF">
      <w:pPr>
        <w:spacing w:line="360" w:lineRule="auto"/>
        <w:ind w:firstLineChars="200" w:firstLine="480"/>
        <w:rPr>
          <w:rFonts w:ascii="华文楷体" w:eastAsia="华文楷体" w:hAnsi="华文楷体"/>
        </w:rPr>
      </w:pPr>
    </w:p>
    <w:p w14:paraId="64A7D44F"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D</w:t>
      </w:r>
      <w:r>
        <w:rPr>
          <w:rFonts w:ascii="华文楷体" w:eastAsia="华文楷体" w:hAnsi="华文楷体" w:hint="eastAsia"/>
        </w:rPr>
        <w:t>公司</w:t>
      </w:r>
      <w:r>
        <w:rPr>
          <w:rFonts w:ascii="华文楷体" w:eastAsia="华文楷体" w:hAnsi="华文楷体" w:hint="eastAsia"/>
        </w:rPr>
        <w:t>2016</w:t>
      </w:r>
      <w:r>
        <w:rPr>
          <w:rFonts w:ascii="华文楷体" w:eastAsia="华文楷体" w:hAnsi="华文楷体" w:hint="eastAsia"/>
        </w:rPr>
        <w:t>年报、</w:t>
      </w:r>
      <w:r>
        <w:rPr>
          <w:rFonts w:ascii="华文楷体" w:eastAsia="华文楷体" w:hAnsi="华文楷体" w:hint="eastAsia"/>
        </w:rPr>
        <w:t>2017</w:t>
      </w:r>
      <w:r>
        <w:rPr>
          <w:rFonts w:ascii="华文楷体" w:eastAsia="华文楷体" w:hAnsi="华文楷体" w:hint="eastAsia"/>
        </w:rPr>
        <w:t>一季报、</w:t>
      </w:r>
      <w:r>
        <w:rPr>
          <w:rFonts w:ascii="华文楷体" w:eastAsia="华文楷体" w:hAnsi="华文楷体" w:hint="eastAsia"/>
        </w:rPr>
        <w:t>2017</w:t>
      </w:r>
      <w:r>
        <w:rPr>
          <w:rFonts w:ascii="华文楷体" w:eastAsia="华文楷体" w:hAnsi="华文楷体" w:hint="eastAsia"/>
        </w:rPr>
        <w:t>半年报等定期报告未按照最佳估计数对所有未决诉讼预计损失并计提预计负债，导致上述定期报告信息披露不准确，违反《上市公司信息披露管理办法》第二条规定。根据《上市公司信息披露管理办法》第五十九条的规定，对该公司出具警示函。</w:t>
      </w:r>
    </w:p>
    <w:p w14:paraId="1588D68F" w14:textId="77777777" w:rsidR="00ED5EBF" w:rsidRDefault="00ED5EBF">
      <w:pPr>
        <w:spacing w:line="360" w:lineRule="auto"/>
        <w:ind w:firstLineChars="200" w:firstLine="480"/>
        <w:rPr>
          <w:rFonts w:ascii="华文楷体" w:eastAsia="华文楷体" w:hAnsi="华文楷体"/>
        </w:rPr>
      </w:pPr>
    </w:p>
    <w:p w14:paraId="3D9BE917"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案例</w:t>
      </w:r>
      <w:r>
        <w:rPr>
          <w:rFonts w:ascii="华文楷体" w:eastAsia="华文楷体" w:hAnsi="华文楷体" w:hint="eastAsia"/>
        </w:rPr>
        <w:t>5</w:t>
      </w:r>
      <w:r>
        <w:rPr>
          <w:rFonts w:ascii="华文楷体" w:eastAsia="华文楷体" w:hAnsi="华文楷体" w:hint="eastAsia"/>
        </w:rPr>
        <w:t>：公司第一大股东违规减持</w:t>
      </w:r>
    </w:p>
    <w:p w14:paraId="2149F997" w14:textId="77777777" w:rsidR="00ED5EBF" w:rsidRDefault="00ED5EBF">
      <w:pPr>
        <w:spacing w:line="360" w:lineRule="auto"/>
        <w:ind w:firstLineChars="200" w:firstLine="480"/>
        <w:rPr>
          <w:rFonts w:ascii="华文楷体" w:eastAsia="华文楷体" w:hAnsi="华文楷体"/>
        </w:rPr>
      </w:pPr>
    </w:p>
    <w:p w14:paraId="2DF8CE5A"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E</w:t>
      </w:r>
      <w:r>
        <w:rPr>
          <w:rFonts w:ascii="华文楷体" w:eastAsia="华文楷体" w:hAnsi="华文楷体" w:hint="eastAsia"/>
        </w:rPr>
        <w:t>公司的第一大股东披露减持计划，拟通过大宗交易、竞价交易或协议转让方式合计减持不超过</w:t>
      </w:r>
      <w:r>
        <w:rPr>
          <w:rFonts w:ascii="华文楷体" w:eastAsia="华文楷体" w:hAnsi="华文楷体" w:hint="eastAsia"/>
        </w:rPr>
        <w:t>7,134.38</w:t>
      </w:r>
      <w:r>
        <w:rPr>
          <w:rFonts w:ascii="华文楷体" w:eastAsia="华文楷体" w:hAnsi="华文楷体" w:hint="eastAsia"/>
        </w:rPr>
        <w:t>万股股份，其中通过集中竞价方式减持的的股份将于公告披露日起</w:t>
      </w:r>
      <w:r>
        <w:rPr>
          <w:rFonts w:ascii="华文楷体" w:eastAsia="华文楷体" w:hAnsi="华文楷体" w:hint="eastAsia"/>
        </w:rPr>
        <w:t>15</w:t>
      </w:r>
      <w:r>
        <w:rPr>
          <w:rFonts w:ascii="华文楷体" w:eastAsia="华文楷体" w:hAnsi="华文楷体" w:hint="eastAsia"/>
        </w:rPr>
        <w:t>个交易日后的</w:t>
      </w:r>
      <w:r>
        <w:rPr>
          <w:rFonts w:ascii="华文楷体" w:eastAsia="华文楷体" w:hAnsi="华文楷体" w:hint="eastAsia"/>
        </w:rPr>
        <w:t>6</w:t>
      </w:r>
      <w:r>
        <w:rPr>
          <w:rFonts w:ascii="华文楷体" w:eastAsia="华文楷体" w:hAnsi="华文楷体" w:hint="eastAsia"/>
        </w:rPr>
        <w:t>个月内进行。该股东后通过</w:t>
      </w:r>
      <w:r>
        <w:rPr>
          <w:rFonts w:ascii="华文楷体" w:eastAsia="华文楷体" w:hAnsi="华文楷体" w:hint="eastAsia"/>
        </w:rPr>
        <w:t>集中竞价方式减持股份</w:t>
      </w:r>
      <w:r>
        <w:rPr>
          <w:rFonts w:ascii="华文楷体" w:eastAsia="华文楷体" w:hAnsi="华文楷体" w:hint="eastAsia"/>
        </w:rPr>
        <w:t>21.92</w:t>
      </w:r>
      <w:r>
        <w:rPr>
          <w:rFonts w:ascii="华文楷体" w:eastAsia="华文楷体" w:hAnsi="华文楷体" w:hint="eastAsia"/>
        </w:rPr>
        <w:t>万股，占比</w:t>
      </w:r>
      <w:r>
        <w:rPr>
          <w:rFonts w:ascii="华文楷体" w:eastAsia="华文楷体" w:hAnsi="华文楷体" w:hint="eastAsia"/>
        </w:rPr>
        <w:t>0.03%</w:t>
      </w:r>
      <w:r>
        <w:rPr>
          <w:rFonts w:ascii="华文楷体" w:eastAsia="华文楷体" w:hAnsi="华文楷体" w:hint="eastAsia"/>
        </w:rPr>
        <w:t>，减持金额为</w:t>
      </w:r>
      <w:r>
        <w:rPr>
          <w:rFonts w:ascii="华文楷体" w:eastAsia="华文楷体" w:hAnsi="华文楷体" w:hint="eastAsia"/>
        </w:rPr>
        <w:t>234.68</w:t>
      </w:r>
      <w:r>
        <w:rPr>
          <w:rFonts w:ascii="华文楷体" w:eastAsia="华文楷体" w:hAnsi="华文楷体" w:hint="eastAsia"/>
        </w:rPr>
        <w:t>万元，前述减持行为距离减持计划披露日未满</w:t>
      </w:r>
      <w:r>
        <w:rPr>
          <w:rFonts w:ascii="华文楷体" w:eastAsia="华文楷体" w:hAnsi="华文楷体" w:hint="eastAsia"/>
        </w:rPr>
        <w:t>15</w:t>
      </w:r>
      <w:r>
        <w:rPr>
          <w:rFonts w:ascii="华文楷体" w:eastAsia="华文楷体" w:hAnsi="华文楷体" w:hint="eastAsia"/>
        </w:rPr>
        <w:t>个交易日。上述行为违反了《上市公司股东、董监高减持股份的若干规定》第八条和《上市公司信息披露管理办法》第二条规定。根据《上市公司信息披露管理办法》第五十九条的规定，对该股东出具警示函。</w:t>
      </w:r>
    </w:p>
    <w:p w14:paraId="3D112AE3" w14:textId="77777777" w:rsidR="00ED5EBF" w:rsidRDefault="00ED5EBF">
      <w:pPr>
        <w:spacing w:line="360" w:lineRule="auto"/>
        <w:ind w:firstLineChars="200" w:firstLine="480"/>
        <w:rPr>
          <w:rFonts w:ascii="华文楷体" w:eastAsia="华文楷体" w:hAnsi="华文楷体"/>
        </w:rPr>
      </w:pPr>
    </w:p>
    <w:p w14:paraId="56A71849"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案例</w:t>
      </w:r>
      <w:r>
        <w:rPr>
          <w:rFonts w:ascii="华文楷体" w:eastAsia="华文楷体" w:hAnsi="华文楷体" w:hint="eastAsia"/>
        </w:rPr>
        <w:t>6</w:t>
      </w:r>
      <w:r>
        <w:rPr>
          <w:rFonts w:ascii="华文楷体" w:eastAsia="华文楷体" w:hAnsi="华文楷体" w:hint="eastAsia"/>
        </w:rPr>
        <w:t>：公司董秘未勤勉尽责</w:t>
      </w:r>
    </w:p>
    <w:p w14:paraId="635B8FD8" w14:textId="77777777" w:rsidR="00ED5EBF" w:rsidRDefault="00ED5EBF">
      <w:pPr>
        <w:spacing w:line="360" w:lineRule="auto"/>
        <w:ind w:firstLineChars="200" w:firstLine="480"/>
        <w:rPr>
          <w:rFonts w:ascii="华文楷体" w:eastAsia="华文楷体" w:hAnsi="华文楷体"/>
        </w:rPr>
      </w:pPr>
    </w:p>
    <w:p w14:paraId="4AAA3DD1"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F</w:t>
      </w:r>
      <w:r>
        <w:rPr>
          <w:rFonts w:ascii="华文楷体" w:eastAsia="华文楷体" w:hAnsi="华文楷体" w:hint="eastAsia"/>
        </w:rPr>
        <w:t>公司董事会秘书接到大股东函告，通知公司将于近期以大宗交易方式及集中竞价方式分别减持股份不超过</w:t>
      </w:r>
      <w:r>
        <w:rPr>
          <w:rFonts w:ascii="华文楷体" w:eastAsia="华文楷体" w:hAnsi="华文楷体" w:hint="eastAsia"/>
        </w:rPr>
        <w:t>2%</w:t>
      </w:r>
      <w:r>
        <w:rPr>
          <w:rFonts w:ascii="华文楷体" w:eastAsia="华文楷体" w:hAnsi="华文楷体" w:hint="eastAsia"/>
        </w:rPr>
        <w:t>和</w:t>
      </w:r>
      <w:r>
        <w:rPr>
          <w:rFonts w:ascii="华文楷体" w:eastAsia="华文楷体" w:hAnsi="华文楷体" w:hint="eastAsia"/>
        </w:rPr>
        <w:t>1%</w:t>
      </w:r>
      <w:r>
        <w:rPr>
          <w:rFonts w:ascii="华文楷体" w:eastAsia="华文楷体" w:hAnsi="华文楷体" w:hint="eastAsia"/>
        </w:rPr>
        <w:t>后，忽略了大股东在招股说明书中作出的承诺，告知大股东无需披露公告，导致其</w:t>
      </w:r>
      <w:r>
        <w:rPr>
          <w:rFonts w:ascii="华文楷体" w:eastAsia="华文楷体" w:hAnsi="华文楷体" w:hint="eastAsia"/>
        </w:rPr>
        <w:t>实施了违反承诺的减持行为。该董秘没有做到勤勉尽职，违反了《上市公司信息披露管理办法》第三条的规定。按照《上市公司信息披露管理办法》第五十九条和证券法相关规定，要求该董秘到北京证监局接受监管谈话。</w:t>
      </w:r>
    </w:p>
    <w:p w14:paraId="0012476F" w14:textId="77777777" w:rsidR="00ED5EBF" w:rsidRDefault="00ED5EBF">
      <w:pPr>
        <w:spacing w:line="360" w:lineRule="auto"/>
        <w:ind w:firstLineChars="200" w:firstLine="480"/>
        <w:rPr>
          <w:rFonts w:ascii="华文楷体" w:eastAsia="华文楷体" w:hAnsi="华文楷体"/>
        </w:rPr>
      </w:pPr>
    </w:p>
    <w:p w14:paraId="584B0BE5"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案例</w:t>
      </w:r>
      <w:r>
        <w:rPr>
          <w:rFonts w:ascii="华文楷体" w:eastAsia="华文楷体" w:hAnsi="华文楷体" w:hint="eastAsia"/>
        </w:rPr>
        <w:t>7</w:t>
      </w:r>
      <w:r>
        <w:rPr>
          <w:rFonts w:ascii="华文楷体" w:eastAsia="华文楷体" w:hAnsi="华文楷体" w:hint="eastAsia"/>
        </w:rPr>
        <w:t>：公司高管违规减持</w:t>
      </w:r>
    </w:p>
    <w:p w14:paraId="52142E3A" w14:textId="77777777" w:rsidR="00ED5EBF" w:rsidRDefault="00ED5EBF">
      <w:pPr>
        <w:spacing w:line="360" w:lineRule="auto"/>
        <w:ind w:firstLineChars="200" w:firstLine="480"/>
        <w:rPr>
          <w:rFonts w:ascii="华文楷体" w:eastAsia="华文楷体" w:hAnsi="华文楷体"/>
        </w:rPr>
      </w:pPr>
    </w:p>
    <w:p w14:paraId="6B3E4CF8"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G</w:t>
      </w:r>
      <w:r>
        <w:rPr>
          <w:rFonts w:ascii="华文楷体" w:eastAsia="华文楷体" w:hAnsi="华文楷体" w:hint="eastAsia"/>
        </w:rPr>
        <w:t>公司高管通过深圳证券交易所集中竞价交易减持公司股票</w:t>
      </w:r>
      <w:r>
        <w:rPr>
          <w:rFonts w:ascii="华文楷体" w:eastAsia="华文楷体" w:hAnsi="华文楷体" w:hint="eastAsia"/>
        </w:rPr>
        <w:t>1.5</w:t>
      </w:r>
      <w:r>
        <w:rPr>
          <w:rFonts w:ascii="华文楷体" w:eastAsia="华文楷体" w:hAnsi="华文楷体" w:hint="eastAsia"/>
        </w:rPr>
        <w:t>万股，未在减持的</w:t>
      </w:r>
      <w:r>
        <w:rPr>
          <w:rFonts w:ascii="华文楷体" w:eastAsia="华文楷体" w:hAnsi="华文楷体" w:hint="eastAsia"/>
        </w:rPr>
        <w:t>15</w:t>
      </w:r>
      <w:r>
        <w:rPr>
          <w:rFonts w:ascii="华文楷体" w:eastAsia="华文楷体" w:hAnsi="华文楷体" w:hint="eastAsia"/>
        </w:rPr>
        <w:t>个交易日前向交易所报告并预先披露减持计划，违反《上市公司股东、董监高减持股份的若干规定》第八条、《上市公司信息披露管理办法》第三条和第三十八条规定。根据《上市公司信息披露管理办法》第五十九条的规定，对其出具警</w:t>
      </w:r>
      <w:r>
        <w:rPr>
          <w:rFonts w:ascii="华文楷体" w:eastAsia="华文楷体" w:hAnsi="华文楷体" w:hint="eastAsia"/>
        </w:rPr>
        <w:t>示函。</w:t>
      </w:r>
    </w:p>
    <w:p w14:paraId="501BC77F" w14:textId="77777777" w:rsidR="00ED5EBF" w:rsidRDefault="00ED5EBF">
      <w:pPr>
        <w:spacing w:line="360" w:lineRule="auto"/>
        <w:ind w:firstLineChars="200" w:firstLine="480"/>
        <w:rPr>
          <w:rFonts w:ascii="华文楷体" w:eastAsia="华文楷体" w:hAnsi="华文楷体"/>
        </w:rPr>
      </w:pPr>
    </w:p>
    <w:p w14:paraId="54C12149"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案例</w:t>
      </w:r>
      <w:r>
        <w:rPr>
          <w:rFonts w:ascii="华文楷体" w:eastAsia="华文楷体" w:hAnsi="华文楷体" w:hint="eastAsia"/>
        </w:rPr>
        <w:t>8</w:t>
      </w:r>
      <w:r>
        <w:rPr>
          <w:rFonts w:ascii="华文楷体" w:eastAsia="华文楷体" w:hAnsi="华文楷体" w:hint="eastAsia"/>
        </w:rPr>
        <w:t>：未对前后披露信息不一致的情况进行说明</w:t>
      </w:r>
    </w:p>
    <w:p w14:paraId="1026D8AC" w14:textId="77777777" w:rsidR="00ED5EBF" w:rsidRDefault="00ED5EBF">
      <w:pPr>
        <w:spacing w:line="360" w:lineRule="auto"/>
        <w:ind w:firstLineChars="200" w:firstLine="480"/>
        <w:rPr>
          <w:rFonts w:ascii="华文楷体" w:eastAsia="华文楷体" w:hAnsi="华文楷体"/>
        </w:rPr>
      </w:pPr>
    </w:p>
    <w:p w14:paraId="3D52E838"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H</w:t>
      </w:r>
      <w:r>
        <w:rPr>
          <w:rFonts w:ascii="华文楷体" w:eastAsia="华文楷体" w:hAnsi="华文楷体" w:hint="eastAsia"/>
        </w:rPr>
        <w:t>公司</w:t>
      </w:r>
      <w:r>
        <w:rPr>
          <w:rFonts w:ascii="华文楷体" w:eastAsia="华文楷体" w:hAnsi="华文楷体" w:hint="eastAsia"/>
        </w:rPr>
        <w:t>2016</w:t>
      </w:r>
      <w:r>
        <w:rPr>
          <w:rFonts w:ascii="华文楷体" w:eastAsia="华文楷体" w:hAnsi="华文楷体" w:hint="eastAsia"/>
        </w:rPr>
        <w:t>年年报中披露的分季度主要财务数据与已披露的季度报告、半年度报告相关财务数据存在差异，但</w:t>
      </w:r>
      <w:r>
        <w:rPr>
          <w:rFonts w:ascii="华文楷体" w:eastAsia="华文楷体" w:hAnsi="华文楷体" w:hint="eastAsia"/>
        </w:rPr>
        <w:t>H</w:t>
      </w:r>
      <w:r>
        <w:rPr>
          <w:rFonts w:ascii="华文楷体" w:eastAsia="华文楷体" w:hAnsi="华文楷体" w:hint="eastAsia"/>
        </w:rPr>
        <w:t>公司未在</w:t>
      </w:r>
      <w:r>
        <w:rPr>
          <w:rFonts w:ascii="华文楷体" w:eastAsia="华文楷体" w:hAnsi="华文楷体" w:hint="eastAsia"/>
        </w:rPr>
        <w:t>2016</w:t>
      </w:r>
      <w:r>
        <w:rPr>
          <w:rFonts w:ascii="华文楷体" w:eastAsia="华文楷体" w:hAnsi="华文楷体" w:hint="eastAsia"/>
        </w:rPr>
        <w:t>年年报中披露差异情况并说明主要原因。前述行为违反了《上市公司信息披露管理办法》第二条的规定。按照《上市公司信息披露管理办法》第五十九条的规定，对</w:t>
      </w:r>
      <w:r>
        <w:rPr>
          <w:rFonts w:ascii="华文楷体" w:eastAsia="华文楷体" w:hAnsi="华文楷体" w:hint="eastAsia"/>
        </w:rPr>
        <w:t>H</w:t>
      </w:r>
      <w:r>
        <w:rPr>
          <w:rFonts w:ascii="华文楷体" w:eastAsia="华文楷体" w:hAnsi="华文楷体" w:hint="eastAsia"/>
        </w:rPr>
        <w:t>公司采取出具警示函的行政监管措施。</w:t>
      </w:r>
    </w:p>
    <w:p w14:paraId="30A38CDA" w14:textId="77777777" w:rsidR="00ED5EBF" w:rsidRDefault="00ED5EBF">
      <w:pPr>
        <w:spacing w:line="360" w:lineRule="auto"/>
        <w:ind w:firstLineChars="200" w:firstLine="480"/>
        <w:rPr>
          <w:rFonts w:ascii="华文楷体" w:eastAsia="华文楷体" w:hAnsi="华文楷体"/>
        </w:rPr>
      </w:pPr>
    </w:p>
    <w:p w14:paraId="0D5F5F3D"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案例</w:t>
      </w:r>
      <w:r>
        <w:rPr>
          <w:rFonts w:ascii="华文楷体" w:eastAsia="华文楷体" w:hAnsi="华文楷体" w:hint="eastAsia"/>
        </w:rPr>
        <w:t>9</w:t>
      </w:r>
      <w:r>
        <w:rPr>
          <w:rFonts w:ascii="华文楷体" w:eastAsia="华文楷体" w:hAnsi="华文楷体" w:hint="eastAsia"/>
        </w:rPr>
        <w:t>：以定期报告替代临时公告</w:t>
      </w:r>
    </w:p>
    <w:p w14:paraId="1ED56B0C" w14:textId="77777777" w:rsidR="00ED5EBF" w:rsidRDefault="00ED5EBF">
      <w:pPr>
        <w:spacing w:line="360" w:lineRule="auto"/>
        <w:ind w:firstLineChars="200" w:firstLine="480"/>
        <w:rPr>
          <w:rFonts w:ascii="华文楷体" w:eastAsia="华文楷体" w:hAnsi="华文楷体"/>
        </w:rPr>
      </w:pPr>
    </w:p>
    <w:p w14:paraId="7C787490" w14:textId="77777777" w:rsidR="00ED5EBF" w:rsidRDefault="002034C8">
      <w:pPr>
        <w:spacing w:line="360" w:lineRule="auto"/>
        <w:ind w:firstLineChars="200" w:firstLine="480"/>
        <w:rPr>
          <w:rFonts w:ascii="华文楷体" w:eastAsia="华文楷体" w:hAnsi="华文楷体"/>
        </w:rPr>
      </w:pPr>
      <w:r>
        <w:rPr>
          <w:rFonts w:ascii="华文楷体" w:eastAsia="华文楷体" w:hAnsi="华文楷体" w:hint="eastAsia"/>
        </w:rPr>
        <w:t>I</w:t>
      </w:r>
      <w:r>
        <w:rPr>
          <w:rFonts w:ascii="华文楷体" w:eastAsia="华文楷体" w:hAnsi="华文楷体" w:hint="eastAsia"/>
        </w:rPr>
        <w:t>公司</w:t>
      </w:r>
      <w:r>
        <w:rPr>
          <w:rFonts w:ascii="华文楷体" w:eastAsia="华文楷体" w:hAnsi="华文楷体" w:hint="eastAsia"/>
        </w:rPr>
        <w:t>2016</w:t>
      </w:r>
      <w:r>
        <w:rPr>
          <w:rFonts w:ascii="华文楷体" w:eastAsia="华文楷体" w:hAnsi="华文楷体" w:hint="eastAsia"/>
        </w:rPr>
        <w:t>年、</w:t>
      </w:r>
      <w:r>
        <w:rPr>
          <w:rFonts w:ascii="华文楷体" w:eastAsia="华文楷体" w:hAnsi="华文楷体" w:hint="eastAsia"/>
        </w:rPr>
        <w:t>2017</w:t>
      </w:r>
      <w:r>
        <w:rPr>
          <w:rFonts w:ascii="华文楷体" w:eastAsia="华文楷体" w:hAnsi="华文楷体" w:hint="eastAsia"/>
        </w:rPr>
        <w:t>年均收到大额政府补助并计入当期损益，上述事项产生的利润已分别超过</w:t>
      </w:r>
      <w:r>
        <w:rPr>
          <w:rFonts w:ascii="华文楷体" w:eastAsia="华文楷体" w:hAnsi="华文楷体" w:hint="eastAsia"/>
        </w:rPr>
        <w:t>I</w:t>
      </w:r>
      <w:r>
        <w:rPr>
          <w:rFonts w:ascii="华文楷体" w:eastAsia="华文楷体" w:hAnsi="华文楷体" w:hint="eastAsia"/>
        </w:rPr>
        <w:t>公司</w:t>
      </w:r>
      <w:r>
        <w:rPr>
          <w:rFonts w:ascii="华文楷体" w:eastAsia="华文楷体" w:hAnsi="华文楷体" w:hint="eastAsia"/>
        </w:rPr>
        <w:t>2015</w:t>
      </w:r>
      <w:r>
        <w:rPr>
          <w:rFonts w:ascii="华文楷体" w:eastAsia="华文楷体" w:hAnsi="华文楷体" w:hint="eastAsia"/>
        </w:rPr>
        <w:t>年、</w:t>
      </w:r>
      <w:r>
        <w:rPr>
          <w:rFonts w:ascii="华文楷体" w:eastAsia="华文楷体" w:hAnsi="华文楷体" w:hint="eastAsia"/>
        </w:rPr>
        <w:t>2016</w:t>
      </w:r>
      <w:r>
        <w:rPr>
          <w:rFonts w:ascii="华文楷体" w:eastAsia="华文楷体" w:hAnsi="华文楷体" w:hint="eastAsia"/>
        </w:rPr>
        <w:t>年经审计净利润的</w:t>
      </w:r>
      <w:r>
        <w:rPr>
          <w:rFonts w:ascii="华文楷体" w:eastAsia="华文楷体" w:hAnsi="华文楷体" w:hint="eastAsia"/>
        </w:rPr>
        <w:t>10%</w:t>
      </w:r>
      <w:r>
        <w:rPr>
          <w:rFonts w:ascii="华文楷体" w:eastAsia="华文楷体" w:hAnsi="华文楷体" w:hint="eastAsia"/>
        </w:rPr>
        <w:t>，但公司未发布临时公告，以定期报告替代临时公告。前述行为违反了《上市公司信息披露管理办法》第二条、第十三条的规定。按照《上市公司信息披露管理办法》第五十九条的规定，对</w:t>
      </w:r>
      <w:r>
        <w:rPr>
          <w:rFonts w:ascii="华文楷体" w:eastAsia="华文楷体" w:hAnsi="华文楷体" w:hint="eastAsia"/>
        </w:rPr>
        <w:t>I</w:t>
      </w:r>
      <w:r>
        <w:rPr>
          <w:rFonts w:ascii="华文楷体" w:eastAsia="华文楷体" w:hAnsi="华文楷体" w:hint="eastAsia"/>
        </w:rPr>
        <w:t>公司采取出具警示函的行政监管措施。</w:t>
      </w:r>
    </w:p>
    <w:p w14:paraId="341CA3E9" w14:textId="77777777" w:rsidR="00ED5EBF" w:rsidRDefault="00ED5EBF">
      <w:pPr>
        <w:spacing w:line="360" w:lineRule="auto"/>
        <w:ind w:firstLineChars="200" w:firstLine="480"/>
        <w:rPr>
          <w:rFonts w:ascii="华文楷体" w:eastAsia="华文楷体" w:hAnsi="华文楷体"/>
        </w:rPr>
      </w:pPr>
    </w:p>
    <w:p w14:paraId="49C8F530" w14:textId="77777777" w:rsidR="00ED5EBF" w:rsidRDefault="00ED5EBF">
      <w:pPr>
        <w:spacing w:line="360" w:lineRule="auto"/>
        <w:ind w:firstLineChars="200" w:firstLine="480"/>
        <w:rPr>
          <w:rFonts w:ascii="华文楷体" w:eastAsia="华文楷体" w:hAnsi="华文楷体"/>
        </w:rPr>
      </w:pPr>
    </w:p>
    <w:p w14:paraId="3D732095" w14:textId="77777777" w:rsidR="00ED5EBF" w:rsidRDefault="00ED5EBF">
      <w:pPr>
        <w:spacing w:line="360" w:lineRule="auto"/>
        <w:ind w:firstLineChars="200" w:firstLine="480"/>
        <w:jc w:val="right"/>
        <w:rPr>
          <w:rFonts w:ascii="华文楷体" w:eastAsia="华文楷体" w:hAnsi="华文楷体"/>
        </w:rPr>
      </w:pPr>
    </w:p>
    <w:p w14:paraId="04B5CE6C" w14:textId="77777777" w:rsidR="00ED5EBF" w:rsidRDefault="002034C8">
      <w:pPr>
        <w:spacing w:line="360" w:lineRule="auto"/>
        <w:ind w:firstLineChars="200" w:firstLine="480"/>
        <w:jc w:val="right"/>
        <w:rPr>
          <w:rFonts w:ascii="华文楷体" w:eastAsia="华文楷体" w:hAnsi="华文楷体"/>
        </w:rPr>
      </w:pPr>
      <w:r>
        <w:rPr>
          <w:rFonts w:ascii="华文楷体" w:eastAsia="华文楷体" w:hAnsi="华文楷体" w:hint="eastAsia"/>
        </w:rPr>
        <w:t>抄送：北京上市公司协会。</w:t>
      </w:r>
    </w:p>
    <w:p w14:paraId="4DBCB3FD" w14:textId="77777777" w:rsidR="00ED5EBF" w:rsidRDefault="002034C8">
      <w:pPr>
        <w:spacing w:line="360" w:lineRule="auto"/>
        <w:ind w:firstLineChars="200" w:firstLine="480"/>
        <w:jc w:val="right"/>
        <w:rPr>
          <w:rFonts w:ascii="华文楷体" w:eastAsia="华文楷体" w:hAnsi="华文楷体"/>
        </w:rPr>
      </w:pPr>
      <w:r>
        <w:rPr>
          <w:rFonts w:ascii="华文楷体" w:eastAsia="华文楷体" w:hAnsi="华文楷体" w:hint="eastAsia"/>
        </w:rPr>
        <w:t>分送：局领导、存档。</w:t>
      </w:r>
    </w:p>
    <w:p w14:paraId="5B51D7EF" w14:textId="77777777" w:rsidR="00ED5EBF" w:rsidRDefault="002034C8">
      <w:pPr>
        <w:spacing w:line="360" w:lineRule="auto"/>
        <w:ind w:firstLineChars="200" w:firstLine="480"/>
        <w:jc w:val="right"/>
        <w:rPr>
          <w:rFonts w:ascii="华文楷体" w:eastAsia="华文楷体" w:hAnsi="华文楷体"/>
        </w:rPr>
      </w:pPr>
      <w:r>
        <w:rPr>
          <w:rFonts w:ascii="华文楷体" w:eastAsia="华文楷体" w:hAnsi="华文楷体" w:hint="eastAsia"/>
        </w:rPr>
        <w:t>编辑：金沉哲</w:t>
      </w:r>
      <w:r>
        <w:rPr>
          <w:rFonts w:ascii="华文楷体" w:eastAsia="华文楷体" w:hAnsi="华文楷体" w:hint="eastAsia"/>
        </w:rPr>
        <w:t xml:space="preserve"> </w:t>
      </w:r>
      <w:r>
        <w:rPr>
          <w:rFonts w:ascii="华文楷体" w:eastAsia="华文楷体" w:hAnsi="华文楷体" w:hint="eastAsia"/>
        </w:rPr>
        <w:t>林雅婕</w:t>
      </w:r>
      <w:r>
        <w:rPr>
          <w:rFonts w:ascii="华文楷体" w:eastAsia="华文楷体" w:hAnsi="华文楷体" w:hint="eastAsia"/>
        </w:rPr>
        <w:t xml:space="preserve">          </w:t>
      </w:r>
      <w:r>
        <w:rPr>
          <w:rFonts w:ascii="华文楷体" w:eastAsia="华文楷体" w:hAnsi="华文楷体" w:hint="eastAsia"/>
        </w:rPr>
        <w:t>核稿：孙林</w:t>
      </w:r>
    </w:p>
    <w:p w14:paraId="6DD5E2A8" w14:textId="77777777" w:rsidR="00ED5EBF" w:rsidRDefault="00ED5EBF">
      <w:pPr>
        <w:spacing w:line="360" w:lineRule="auto"/>
        <w:ind w:right="360"/>
        <w:rPr>
          <w:rFonts w:ascii="华文楷体" w:eastAsia="华文楷体" w:hAnsi="华文楷体"/>
          <w:sz w:val="18"/>
          <w:szCs w:val="18"/>
        </w:rPr>
      </w:pPr>
    </w:p>
    <w:p w14:paraId="41654A61" w14:textId="77777777" w:rsidR="00ED5EBF" w:rsidRDefault="00ED5EBF">
      <w:pPr>
        <w:spacing w:line="360" w:lineRule="auto"/>
        <w:ind w:right="360"/>
        <w:rPr>
          <w:rFonts w:ascii="华文楷体" w:eastAsia="华文楷体" w:hAnsi="华文楷体"/>
          <w:sz w:val="18"/>
          <w:szCs w:val="18"/>
        </w:rPr>
      </w:pPr>
    </w:p>
    <w:p w14:paraId="65E3551C" w14:textId="77777777" w:rsidR="00ED5EBF" w:rsidRDefault="00ED5EBF">
      <w:pPr>
        <w:spacing w:line="360" w:lineRule="auto"/>
        <w:ind w:right="360"/>
        <w:rPr>
          <w:rFonts w:ascii="华文楷体" w:eastAsia="华文楷体" w:hAnsi="华文楷体"/>
          <w:sz w:val="18"/>
          <w:szCs w:val="18"/>
        </w:rPr>
      </w:pPr>
    </w:p>
    <w:p w14:paraId="5D450643" w14:textId="77777777" w:rsidR="00ED5EBF" w:rsidRDefault="00ED5EBF">
      <w:pPr>
        <w:spacing w:line="360" w:lineRule="auto"/>
        <w:ind w:right="360"/>
        <w:rPr>
          <w:rFonts w:ascii="华文楷体" w:eastAsia="华文楷体" w:hAnsi="华文楷体"/>
          <w:sz w:val="18"/>
          <w:szCs w:val="18"/>
        </w:rPr>
      </w:pPr>
    </w:p>
    <w:p w14:paraId="3C0E122E" w14:textId="77777777" w:rsidR="00ED5EBF" w:rsidRDefault="00ED5EBF">
      <w:pPr>
        <w:spacing w:line="360" w:lineRule="auto"/>
        <w:ind w:right="360"/>
        <w:rPr>
          <w:rFonts w:ascii="华文楷体" w:eastAsia="华文楷体" w:hAnsi="华文楷体"/>
          <w:sz w:val="18"/>
          <w:szCs w:val="18"/>
        </w:rPr>
      </w:pPr>
    </w:p>
    <w:p w14:paraId="02DC4063" w14:textId="77777777" w:rsidR="00ED5EBF" w:rsidRDefault="00ED5EBF">
      <w:pPr>
        <w:spacing w:line="360" w:lineRule="auto"/>
        <w:ind w:right="360"/>
        <w:rPr>
          <w:rFonts w:ascii="华文楷体" w:eastAsia="华文楷体" w:hAnsi="华文楷体"/>
          <w:szCs w:val="21"/>
        </w:rPr>
      </w:pPr>
    </w:p>
    <w:p w14:paraId="569EC8FD" w14:textId="77777777" w:rsidR="00ED5EBF" w:rsidRDefault="00ED5EBF">
      <w:pPr>
        <w:spacing w:line="360" w:lineRule="auto"/>
        <w:ind w:right="360"/>
        <w:rPr>
          <w:rFonts w:ascii="华文楷体" w:eastAsia="华文楷体" w:hAnsi="华文楷体"/>
          <w:szCs w:val="21"/>
        </w:rPr>
      </w:pPr>
    </w:p>
    <w:p w14:paraId="24918681" w14:textId="77777777" w:rsidR="00ED5EBF" w:rsidRDefault="00ED5EBF">
      <w:pPr>
        <w:spacing w:line="360" w:lineRule="auto"/>
        <w:ind w:right="360"/>
        <w:rPr>
          <w:rFonts w:ascii="华文楷体" w:eastAsia="华文楷体" w:hAnsi="华文楷体"/>
          <w:szCs w:val="21"/>
        </w:rPr>
      </w:pPr>
    </w:p>
    <w:p w14:paraId="7DE1BF41" w14:textId="77777777" w:rsidR="00ED5EBF" w:rsidRDefault="00ED5EBF">
      <w:pPr>
        <w:spacing w:line="360" w:lineRule="auto"/>
        <w:ind w:right="360"/>
        <w:rPr>
          <w:rFonts w:ascii="华文楷体" w:eastAsia="华文楷体" w:hAnsi="华文楷体"/>
          <w:szCs w:val="21"/>
        </w:rPr>
      </w:pPr>
    </w:p>
    <w:p w14:paraId="587309E3" w14:textId="77777777" w:rsidR="00ED5EBF" w:rsidRDefault="00ED5EBF">
      <w:pPr>
        <w:spacing w:line="360" w:lineRule="auto"/>
        <w:ind w:right="360"/>
        <w:rPr>
          <w:rFonts w:ascii="华文楷体" w:eastAsia="华文楷体" w:hAnsi="华文楷体"/>
          <w:szCs w:val="21"/>
        </w:rPr>
      </w:pPr>
    </w:p>
    <w:p w14:paraId="504F2B3F" w14:textId="77777777" w:rsidR="00ED5EBF" w:rsidRDefault="00ED5EBF">
      <w:pPr>
        <w:spacing w:line="360" w:lineRule="auto"/>
        <w:ind w:right="360"/>
        <w:rPr>
          <w:rFonts w:ascii="华文楷体" w:eastAsia="华文楷体" w:hAnsi="华文楷体"/>
          <w:szCs w:val="21"/>
        </w:rPr>
      </w:pPr>
    </w:p>
    <w:p w14:paraId="083AEB4E" w14:textId="77777777" w:rsidR="00ED5EBF" w:rsidRDefault="00ED5EBF">
      <w:pPr>
        <w:spacing w:line="360" w:lineRule="auto"/>
        <w:ind w:right="360"/>
        <w:rPr>
          <w:rFonts w:ascii="华文楷体" w:eastAsia="华文楷体" w:hAnsi="华文楷体"/>
          <w:szCs w:val="21"/>
        </w:rPr>
      </w:pPr>
    </w:p>
    <w:p w14:paraId="5761B386" w14:textId="77777777" w:rsidR="00ED5EBF" w:rsidRDefault="00ED5EBF">
      <w:pPr>
        <w:spacing w:line="360" w:lineRule="auto"/>
        <w:ind w:right="360"/>
        <w:rPr>
          <w:rFonts w:ascii="华文楷体" w:eastAsia="华文楷体" w:hAnsi="华文楷体"/>
          <w:szCs w:val="21"/>
        </w:rPr>
      </w:pPr>
    </w:p>
    <w:p w14:paraId="5A31119E" w14:textId="77777777" w:rsidR="00ED5EBF" w:rsidRDefault="00ED5EBF">
      <w:pPr>
        <w:spacing w:line="360" w:lineRule="auto"/>
        <w:ind w:right="360"/>
        <w:rPr>
          <w:rFonts w:ascii="华文楷体" w:eastAsia="华文楷体" w:hAnsi="华文楷体"/>
          <w:szCs w:val="21"/>
        </w:rPr>
      </w:pPr>
    </w:p>
    <w:p w14:paraId="277DB07E" w14:textId="77777777" w:rsidR="00ED5EBF" w:rsidRDefault="00ED5EBF">
      <w:pPr>
        <w:spacing w:line="360" w:lineRule="auto"/>
        <w:ind w:right="360"/>
        <w:rPr>
          <w:rFonts w:ascii="华文楷体" w:eastAsia="华文楷体" w:hAnsi="华文楷体"/>
          <w:szCs w:val="21"/>
        </w:rPr>
      </w:pPr>
    </w:p>
    <w:p w14:paraId="1BE8A04D" w14:textId="77777777" w:rsidR="00ED5EBF" w:rsidRDefault="00ED5EBF">
      <w:pPr>
        <w:spacing w:line="360" w:lineRule="auto"/>
        <w:ind w:right="360"/>
        <w:rPr>
          <w:rFonts w:ascii="华文楷体" w:eastAsia="华文楷体" w:hAnsi="华文楷体"/>
          <w:szCs w:val="21"/>
        </w:rPr>
      </w:pPr>
    </w:p>
    <w:p w14:paraId="465A6B3C" w14:textId="77777777" w:rsidR="00ED5EBF" w:rsidRDefault="002034C8">
      <w:pPr>
        <w:spacing w:line="360" w:lineRule="auto"/>
        <w:ind w:right="360"/>
        <w:jc w:val="center"/>
        <w:rPr>
          <w:rFonts w:ascii="华文中宋" w:eastAsia="华文中宋" w:hAnsi="华文中宋" w:cs="华文中宋"/>
          <w:b/>
        </w:rPr>
      </w:pPr>
      <w:bookmarkStart w:id="34" w:name="中国工商银行北京市分行全面推进普惠金融发展"/>
      <w:r>
        <w:rPr>
          <w:rFonts w:ascii="华文中宋" w:eastAsia="华文中宋" w:hAnsi="华文中宋" w:cs="华文中宋" w:hint="eastAsia"/>
          <w:b/>
        </w:rPr>
        <w:t>中国工商银行北京市分行全面推进普惠金融发展</w:t>
      </w:r>
    </w:p>
    <w:bookmarkEnd w:id="34"/>
    <w:p w14:paraId="15D0BEA8" w14:textId="77777777" w:rsidR="00ED5EBF" w:rsidRDefault="002034C8">
      <w:pPr>
        <w:spacing w:line="360" w:lineRule="auto"/>
        <w:ind w:right="360"/>
        <w:jc w:val="center"/>
        <w:rPr>
          <w:rFonts w:ascii="华文楷体" w:eastAsia="华文楷体" w:hAnsi="华文楷体"/>
          <w:szCs w:val="21"/>
        </w:rPr>
      </w:pPr>
      <w:r>
        <w:rPr>
          <w:rFonts w:ascii="华文楷体" w:eastAsia="华文楷体" w:hAnsi="华文楷体" w:hint="eastAsia"/>
          <w:szCs w:val="21"/>
        </w:rPr>
        <w:t>时间：</w:t>
      </w:r>
      <w:r>
        <w:rPr>
          <w:rFonts w:ascii="华文楷体" w:eastAsia="华文楷体" w:hAnsi="华文楷体" w:hint="eastAsia"/>
          <w:szCs w:val="21"/>
        </w:rPr>
        <w:t xml:space="preserve">2018-03-12  </w:t>
      </w:r>
      <w:r>
        <w:rPr>
          <w:rFonts w:ascii="华文楷体" w:eastAsia="华文楷体" w:hAnsi="华文楷体" w:hint="eastAsia"/>
          <w:szCs w:val="21"/>
        </w:rPr>
        <w:t>来源：北京日报</w:t>
      </w:r>
    </w:p>
    <w:p w14:paraId="042EEF0E" w14:textId="77777777" w:rsidR="00ED5EBF" w:rsidRDefault="00ED5EBF">
      <w:pPr>
        <w:spacing w:line="360" w:lineRule="auto"/>
        <w:ind w:right="357" w:firstLineChars="200" w:firstLine="480"/>
        <w:rPr>
          <w:rFonts w:ascii="华文楷体" w:eastAsia="华文楷体" w:hAnsi="华文楷体"/>
        </w:rPr>
      </w:pPr>
    </w:p>
    <w:p w14:paraId="17958C28"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大力发展普惠金融不仅是银行业今后转型发展的主要方向，更是银行履行社会责任的重要体现。中国工商银行北京市分行贯彻落实党的十九大精神，致力于服务小微、“三农”等重点领域、重点人群，不断提升金融服务覆盖面和便捷度，显著改善客户体验，走出了一条普惠金融的特色服务之路。</w:t>
      </w:r>
    </w:p>
    <w:p w14:paraId="5F2EAA7A" w14:textId="77777777" w:rsidR="00ED5EBF" w:rsidRDefault="00ED5EBF">
      <w:pPr>
        <w:spacing w:line="360" w:lineRule="auto"/>
        <w:ind w:right="357" w:firstLineChars="200" w:firstLine="480"/>
        <w:rPr>
          <w:rFonts w:ascii="华文楷体" w:eastAsia="华文楷体" w:hAnsi="华文楷体"/>
        </w:rPr>
      </w:pPr>
    </w:p>
    <w:p w14:paraId="1C4F0342"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着力打造独具特色小微金融服务体系</w:t>
      </w:r>
    </w:p>
    <w:p w14:paraId="1E3CB4E6" w14:textId="77777777" w:rsidR="00ED5EBF" w:rsidRDefault="00ED5EBF">
      <w:pPr>
        <w:spacing w:line="360" w:lineRule="auto"/>
        <w:ind w:right="357" w:firstLineChars="200" w:firstLine="480"/>
        <w:rPr>
          <w:rFonts w:ascii="华文楷体" w:eastAsia="华文楷体" w:hAnsi="华文楷体"/>
        </w:rPr>
      </w:pPr>
    </w:p>
    <w:p w14:paraId="19F49EB1"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据了解，为进一步做深做实小微金融建设，工行北京分行形成了“分行普金融业务部</w:t>
      </w:r>
      <w:r>
        <w:rPr>
          <w:rFonts w:ascii="华文楷体" w:eastAsia="华文楷体" w:hAnsi="华文楷体" w:hint="eastAsia"/>
        </w:rPr>
        <w:t>+12</w:t>
      </w:r>
      <w:r>
        <w:rPr>
          <w:rFonts w:ascii="华文楷体" w:eastAsia="华文楷体" w:hAnsi="华文楷体" w:hint="eastAsia"/>
        </w:rPr>
        <w:t>家小企业金融业务中心支行</w:t>
      </w:r>
      <w:r>
        <w:rPr>
          <w:rFonts w:ascii="华文楷体" w:eastAsia="华文楷体" w:hAnsi="华文楷体" w:hint="eastAsia"/>
        </w:rPr>
        <w:t>+</w:t>
      </w:r>
      <w:r>
        <w:rPr>
          <w:rFonts w:ascii="华文楷体" w:eastAsia="华文楷体" w:hAnsi="华文楷体" w:hint="eastAsia"/>
        </w:rPr>
        <w:t>其他支行</w:t>
      </w:r>
      <w:r>
        <w:rPr>
          <w:rFonts w:ascii="华文楷体" w:eastAsia="华文楷体" w:hAnsi="华文楷体" w:hint="eastAsia"/>
        </w:rPr>
        <w:t>+</w:t>
      </w:r>
      <w:r>
        <w:rPr>
          <w:rFonts w:ascii="华文楷体" w:eastAsia="华文楷体" w:hAnsi="华文楷体" w:hint="eastAsia"/>
        </w:rPr>
        <w:t>百家</w:t>
      </w:r>
      <w:r>
        <w:rPr>
          <w:rFonts w:ascii="华文楷体" w:eastAsia="华文楷体" w:hAnsi="华文楷体" w:hint="eastAsia"/>
        </w:rPr>
        <w:t>明星网点”的立体式服务网络，辖内全部</w:t>
      </w:r>
      <w:r>
        <w:rPr>
          <w:rFonts w:ascii="华文楷体" w:eastAsia="华文楷体" w:hAnsi="华文楷体" w:hint="eastAsia"/>
        </w:rPr>
        <w:t>37</w:t>
      </w:r>
      <w:r>
        <w:rPr>
          <w:rFonts w:ascii="华文楷体" w:eastAsia="华文楷体" w:hAnsi="华文楷体" w:hint="eastAsia"/>
        </w:rPr>
        <w:t>家支行均已经开办小微企业融资业务。工行北京分行工作人员介绍，</w:t>
      </w:r>
      <w:r>
        <w:rPr>
          <w:rFonts w:ascii="华文楷体" w:eastAsia="华文楷体" w:hAnsi="华文楷体" w:hint="eastAsia"/>
        </w:rPr>
        <w:t>2017</w:t>
      </w:r>
      <w:r>
        <w:rPr>
          <w:rFonts w:ascii="华文楷体" w:eastAsia="华文楷体" w:hAnsi="华文楷体" w:hint="eastAsia"/>
        </w:rPr>
        <w:t>年</w:t>
      </w:r>
      <w:r>
        <w:rPr>
          <w:rFonts w:ascii="华文楷体" w:eastAsia="华文楷体" w:hAnsi="华文楷体" w:hint="eastAsia"/>
        </w:rPr>
        <w:t>11</w:t>
      </w:r>
      <w:r>
        <w:rPr>
          <w:rFonts w:ascii="华文楷体" w:eastAsia="华文楷体" w:hAnsi="华文楷体" w:hint="eastAsia"/>
        </w:rPr>
        <w:t>月，分行成立了普惠金融业务部，在小微企业较集中的中关村、经济技术开发区、顺义等区域，已陆续成立了</w:t>
      </w:r>
      <w:r>
        <w:rPr>
          <w:rFonts w:ascii="华文楷体" w:eastAsia="华文楷体" w:hAnsi="华文楷体" w:hint="eastAsia"/>
        </w:rPr>
        <w:t>12</w:t>
      </w:r>
      <w:r>
        <w:rPr>
          <w:rFonts w:ascii="华文楷体" w:eastAsia="华文楷体" w:hAnsi="华文楷体" w:hint="eastAsia"/>
        </w:rPr>
        <w:t>家小企业金融业务中心。针对企业的不同需求，工行北京分行先后推出了可覆盖“贷款、投行、综合金融服务”的小微金融业务品牌“工银融</w:t>
      </w:r>
      <w:r>
        <w:rPr>
          <w:rFonts w:ascii="华文楷体" w:eastAsia="华文楷体" w:hAnsi="华文楷体" w:hint="eastAsia"/>
        </w:rPr>
        <w:t>e</w:t>
      </w:r>
      <w:r>
        <w:rPr>
          <w:rFonts w:ascii="华文楷体" w:eastAsia="华文楷体" w:hAnsi="华文楷体" w:hint="eastAsia"/>
        </w:rPr>
        <w:t>贷”，以及“工银启明星”科技金融服务品牌和“工银文</w:t>
      </w:r>
      <w:r>
        <w:rPr>
          <w:rFonts w:ascii="华文楷体" w:eastAsia="华文楷体" w:hAnsi="华文楷体" w:hint="eastAsia"/>
        </w:rPr>
        <w:t>e</w:t>
      </w:r>
      <w:r>
        <w:rPr>
          <w:rFonts w:ascii="华文楷体" w:eastAsia="华文楷体" w:hAnsi="华文楷体" w:hint="eastAsia"/>
        </w:rPr>
        <w:t>星”文化金融服务品牌。该行为小微企业提供</w:t>
      </w:r>
      <w:r>
        <w:rPr>
          <w:rFonts w:ascii="华文楷体" w:eastAsia="华文楷体" w:hAnsi="华文楷体" w:hint="eastAsia"/>
        </w:rPr>
        <w:t>30</w:t>
      </w:r>
      <w:r>
        <w:rPr>
          <w:rFonts w:ascii="华文楷体" w:eastAsia="华文楷体" w:hAnsi="华文楷体" w:hint="eastAsia"/>
        </w:rPr>
        <w:t>余款融资产品，包括“科技通”、“市赢通”、“创业通”、“税</w:t>
      </w:r>
      <w:r>
        <w:rPr>
          <w:rFonts w:ascii="华文楷体" w:eastAsia="华文楷体" w:hAnsi="华文楷体" w:hint="eastAsia"/>
        </w:rPr>
        <w:t>e</w:t>
      </w:r>
      <w:r>
        <w:rPr>
          <w:rFonts w:ascii="华文楷体" w:eastAsia="华文楷体" w:hAnsi="华文楷体" w:hint="eastAsia"/>
        </w:rPr>
        <w:t>通”等。与此同时</w:t>
      </w:r>
      <w:r>
        <w:rPr>
          <w:rFonts w:ascii="华文楷体" w:eastAsia="华文楷体" w:hAnsi="华文楷体" w:hint="eastAsia"/>
        </w:rPr>
        <w:t>，工行北京分行也借力互联网，将金融服务触达更多小微企业，陆续推出的网上质押贷款、商</w:t>
      </w:r>
      <w:r>
        <w:rPr>
          <w:rFonts w:ascii="华文楷体" w:eastAsia="华文楷体" w:hAnsi="华文楷体" w:hint="eastAsia"/>
        </w:rPr>
        <w:t>e</w:t>
      </w:r>
      <w:r>
        <w:rPr>
          <w:rFonts w:ascii="华文楷体" w:eastAsia="华文楷体" w:hAnsi="华文楷体" w:hint="eastAsia"/>
        </w:rPr>
        <w:t>贷、电子供应链等融资产品均获得良好市场反响。</w:t>
      </w:r>
    </w:p>
    <w:p w14:paraId="5878BC8C" w14:textId="77777777" w:rsidR="00ED5EBF" w:rsidRDefault="00ED5EBF">
      <w:pPr>
        <w:spacing w:line="360" w:lineRule="auto"/>
        <w:ind w:right="357" w:firstLineChars="200" w:firstLine="480"/>
        <w:rPr>
          <w:rFonts w:ascii="华文楷体" w:eastAsia="华文楷体" w:hAnsi="华文楷体"/>
        </w:rPr>
      </w:pPr>
    </w:p>
    <w:p w14:paraId="2AE6354E"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资料显示，自</w:t>
      </w:r>
      <w:r>
        <w:rPr>
          <w:rFonts w:ascii="华文楷体" w:eastAsia="华文楷体" w:hAnsi="华文楷体" w:hint="eastAsia"/>
        </w:rPr>
        <w:t>2006</w:t>
      </w:r>
      <w:r>
        <w:rPr>
          <w:rFonts w:ascii="华文楷体" w:eastAsia="华文楷体" w:hAnsi="华文楷体" w:hint="eastAsia"/>
        </w:rPr>
        <w:t>年开始发展小微金融业务，工行北京分行</w:t>
      </w:r>
      <w:r>
        <w:rPr>
          <w:rFonts w:ascii="华文楷体" w:eastAsia="华文楷体" w:hAnsi="华文楷体" w:hint="eastAsia"/>
        </w:rPr>
        <w:t>10</w:t>
      </w:r>
      <w:r>
        <w:rPr>
          <w:rFonts w:ascii="华文楷体" w:eastAsia="华文楷体" w:hAnsi="华文楷体" w:hint="eastAsia"/>
        </w:rPr>
        <w:t>余年间累计向小微企业投放贷款超</w:t>
      </w:r>
      <w:r>
        <w:rPr>
          <w:rFonts w:ascii="华文楷体" w:eastAsia="华文楷体" w:hAnsi="华文楷体" w:hint="eastAsia"/>
        </w:rPr>
        <w:t>2000</w:t>
      </w:r>
      <w:r>
        <w:rPr>
          <w:rFonts w:ascii="华文楷体" w:eastAsia="华文楷体" w:hAnsi="华文楷体" w:hint="eastAsia"/>
        </w:rPr>
        <w:t>亿元，截至</w:t>
      </w:r>
      <w:r>
        <w:rPr>
          <w:rFonts w:ascii="华文楷体" w:eastAsia="华文楷体" w:hAnsi="华文楷体" w:hint="eastAsia"/>
        </w:rPr>
        <w:t>2017</w:t>
      </w:r>
      <w:r>
        <w:rPr>
          <w:rFonts w:ascii="华文楷体" w:eastAsia="华文楷体" w:hAnsi="华文楷体" w:hint="eastAsia"/>
        </w:rPr>
        <w:t>年末，小微企业贷款余额超</w:t>
      </w:r>
      <w:r>
        <w:rPr>
          <w:rFonts w:ascii="华文楷体" w:eastAsia="华文楷体" w:hAnsi="华文楷体" w:hint="eastAsia"/>
        </w:rPr>
        <w:t>1000</w:t>
      </w:r>
      <w:r>
        <w:rPr>
          <w:rFonts w:ascii="华文楷体" w:eastAsia="华文楷体" w:hAnsi="华文楷体" w:hint="eastAsia"/>
        </w:rPr>
        <w:t>亿元，有贷户数</w:t>
      </w:r>
      <w:r>
        <w:rPr>
          <w:rFonts w:ascii="华文楷体" w:eastAsia="华文楷体" w:hAnsi="华文楷体" w:hint="eastAsia"/>
        </w:rPr>
        <w:t>5900</w:t>
      </w:r>
      <w:r>
        <w:rPr>
          <w:rFonts w:ascii="华文楷体" w:eastAsia="华文楷体" w:hAnsi="华文楷体" w:hint="eastAsia"/>
        </w:rPr>
        <w:t>余户。</w:t>
      </w:r>
    </w:p>
    <w:p w14:paraId="5C97C122" w14:textId="77777777" w:rsidR="00ED5EBF" w:rsidRDefault="00ED5EBF">
      <w:pPr>
        <w:spacing w:line="360" w:lineRule="auto"/>
        <w:ind w:right="357" w:firstLineChars="200" w:firstLine="480"/>
        <w:rPr>
          <w:rFonts w:ascii="华文楷体" w:eastAsia="华文楷体" w:hAnsi="华文楷体"/>
        </w:rPr>
      </w:pPr>
    </w:p>
    <w:p w14:paraId="44D92059"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创新加强“三农”金融支持力度</w:t>
      </w:r>
    </w:p>
    <w:p w14:paraId="58BADEDB" w14:textId="77777777" w:rsidR="00ED5EBF" w:rsidRDefault="00ED5EBF">
      <w:pPr>
        <w:spacing w:line="360" w:lineRule="auto"/>
        <w:ind w:right="357" w:firstLineChars="200" w:firstLine="480"/>
        <w:rPr>
          <w:rFonts w:ascii="华文楷体" w:eastAsia="华文楷体" w:hAnsi="华文楷体"/>
        </w:rPr>
      </w:pPr>
    </w:p>
    <w:p w14:paraId="14046050"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面对农村建设、涉农小微企业和农村用户的金融需求，工行北京分行不断创新融资、信贷及普惠金融服务，着力在服务首都经济和现代农业上下功夫，形成了以涉农龙头企业、棉花交易市场和</w:t>
      </w:r>
      <w:r>
        <w:rPr>
          <w:rFonts w:ascii="华文楷体" w:eastAsia="华文楷体" w:hAnsi="华文楷体" w:hint="eastAsia"/>
        </w:rPr>
        <w:t>本地中小企业为特色的三大细分市场，通过不断创新思路加大金融服务投入，积极引导信贷资金向支持农业产业化、高端化和精细化发展。近年来，该行已累计发放涉农贷款超过</w:t>
      </w:r>
      <w:r>
        <w:rPr>
          <w:rFonts w:ascii="华文楷体" w:eastAsia="华文楷体" w:hAnsi="华文楷体" w:hint="eastAsia"/>
        </w:rPr>
        <w:t>700</w:t>
      </w:r>
      <w:r>
        <w:rPr>
          <w:rFonts w:ascii="华文楷体" w:eastAsia="华文楷体" w:hAnsi="华文楷体" w:hint="eastAsia"/>
        </w:rPr>
        <w:t>亿元，并积极探索表外理财直投、创新担保方式等手段，有力地支持首都城乡一体化发展和农业产业结构调整。</w:t>
      </w:r>
    </w:p>
    <w:p w14:paraId="06EF8DFF" w14:textId="77777777" w:rsidR="00ED5EBF" w:rsidRDefault="00ED5EBF">
      <w:pPr>
        <w:spacing w:line="360" w:lineRule="auto"/>
        <w:ind w:right="357" w:firstLineChars="200" w:firstLine="480"/>
        <w:rPr>
          <w:rFonts w:ascii="华文楷体" w:eastAsia="华文楷体" w:hAnsi="华文楷体"/>
        </w:rPr>
      </w:pPr>
    </w:p>
    <w:p w14:paraId="2F271434"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2017</w:t>
      </w:r>
      <w:r>
        <w:rPr>
          <w:rFonts w:ascii="华文楷体" w:eastAsia="华文楷体" w:hAnsi="华文楷体" w:hint="eastAsia"/>
        </w:rPr>
        <w:t>年，该行为本地涉农龙头企业提供“表内</w:t>
      </w:r>
      <w:r>
        <w:rPr>
          <w:rFonts w:ascii="华文楷体" w:eastAsia="华文楷体" w:hAnsi="华文楷体" w:hint="eastAsia"/>
        </w:rPr>
        <w:t>+</w:t>
      </w:r>
      <w:r>
        <w:rPr>
          <w:rFonts w:ascii="华文楷体" w:eastAsia="华文楷体" w:hAnsi="华文楷体" w:hint="eastAsia"/>
        </w:rPr>
        <w:t>表外”，“商行</w:t>
      </w:r>
      <w:r>
        <w:rPr>
          <w:rFonts w:ascii="华文楷体" w:eastAsia="华文楷体" w:hAnsi="华文楷体" w:hint="eastAsia"/>
        </w:rPr>
        <w:t>+</w:t>
      </w:r>
      <w:r>
        <w:rPr>
          <w:rFonts w:ascii="华文楷体" w:eastAsia="华文楷体" w:hAnsi="华文楷体" w:hint="eastAsia"/>
        </w:rPr>
        <w:t>投行”，“股权</w:t>
      </w:r>
      <w:r>
        <w:rPr>
          <w:rFonts w:ascii="华文楷体" w:eastAsia="华文楷体" w:hAnsi="华文楷体" w:hint="eastAsia"/>
        </w:rPr>
        <w:t>+</w:t>
      </w:r>
      <w:r>
        <w:rPr>
          <w:rFonts w:ascii="华文楷体" w:eastAsia="华文楷体" w:hAnsi="华文楷体" w:hint="eastAsia"/>
        </w:rPr>
        <w:t>债券”综合金融服务，办理表内外融资余额近</w:t>
      </w:r>
      <w:r>
        <w:rPr>
          <w:rFonts w:ascii="华文楷体" w:eastAsia="华文楷体" w:hAnsi="华文楷体" w:hint="eastAsia"/>
        </w:rPr>
        <w:t>150</w:t>
      </w:r>
      <w:r>
        <w:rPr>
          <w:rFonts w:ascii="华文楷体" w:eastAsia="华文楷体" w:hAnsi="华文楷体" w:hint="eastAsia"/>
        </w:rPr>
        <w:t>亿元，“棉贸通”贷款累计放款金额超百亿元。同时，通过对接北京市农业融资担保有限公司（简称农担公司），优化涉农信贷资产结构，在</w:t>
      </w:r>
      <w:r>
        <w:rPr>
          <w:rFonts w:ascii="华文楷体" w:eastAsia="华文楷体" w:hAnsi="华文楷体" w:hint="eastAsia"/>
        </w:rPr>
        <w:t>巩固大型涉农企业合作基础上，发展中小涉农金融业务，三农金融业务取得较快发展。</w:t>
      </w:r>
    </w:p>
    <w:p w14:paraId="093EDAF2" w14:textId="77777777" w:rsidR="00ED5EBF" w:rsidRDefault="00ED5EBF">
      <w:pPr>
        <w:spacing w:line="360" w:lineRule="auto"/>
        <w:ind w:right="357" w:firstLineChars="200" w:firstLine="480"/>
        <w:rPr>
          <w:rFonts w:ascii="华文楷体" w:eastAsia="华文楷体" w:hAnsi="华文楷体"/>
        </w:rPr>
      </w:pPr>
    </w:p>
    <w:p w14:paraId="4B623767"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工商银行北京分行相关负责人表示，除了解决涉农小微企业的融资需求，该行高度重视首都农村金融服务工作，通过银团贷款、表外理财直投、创新担保方式等手段，积极支持大兴区农村集体经营性建设用地入市试点项目融资，累计为项目审批融资</w:t>
      </w:r>
      <w:r>
        <w:rPr>
          <w:rFonts w:ascii="华文楷体" w:eastAsia="华文楷体" w:hAnsi="华文楷体" w:hint="eastAsia"/>
        </w:rPr>
        <w:t>100</w:t>
      </w:r>
      <w:r>
        <w:rPr>
          <w:rFonts w:ascii="华文楷体" w:eastAsia="华文楷体" w:hAnsi="华文楷体" w:hint="eastAsia"/>
        </w:rPr>
        <w:t>余亿元，有助于提高土地利用效率，加快低效产业调整腾退和升级改造，优化首都功能、产业、人口的承接协调。</w:t>
      </w:r>
    </w:p>
    <w:p w14:paraId="11F43AD2" w14:textId="77777777" w:rsidR="00ED5EBF" w:rsidRDefault="00ED5EBF">
      <w:pPr>
        <w:spacing w:line="360" w:lineRule="auto"/>
        <w:ind w:right="357" w:firstLineChars="200" w:firstLine="480"/>
        <w:rPr>
          <w:rFonts w:ascii="华文楷体" w:eastAsia="华文楷体" w:hAnsi="华文楷体"/>
        </w:rPr>
      </w:pPr>
    </w:p>
    <w:p w14:paraId="618139F1"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全面提高金融服务覆盖面和便捷度</w:t>
      </w:r>
    </w:p>
    <w:p w14:paraId="3598C079" w14:textId="77777777" w:rsidR="00ED5EBF" w:rsidRDefault="00ED5EBF">
      <w:pPr>
        <w:spacing w:line="360" w:lineRule="auto"/>
        <w:ind w:right="357" w:firstLineChars="200" w:firstLine="480"/>
        <w:rPr>
          <w:rFonts w:ascii="华文楷体" w:eastAsia="华文楷体" w:hAnsi="华文楷体"/>
        </w:rPr>
      </w:pPr>
    </w:p>
    <w:p w14:paraId="401CA757"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工商银行北京分行秉承精益求精、追求卓越、用户至上的服务精神，有效增强服</w:t>
      </w:r>
      <w:r>
        <w:rPr>
          <w:rFonts w:ascii="华文楷体" w:eastAsia="华文楷体" w:hAnsi="华文楷体" w:hint="eastAsia"/>
        </w:rPr>
        <w:t>务承载能力，全方位提升网点服务水平。工行北分紧跟北京区域发展、城市功能调整和客户资源变化趋势，对营业网点实施“进、退、改”统筹动态管理，网点智能化、轻型化、线上线下一体化建设稳步推进，金融服务承载能力持续增强。积极适应北京市新一轮城市规划的总体布局，专门研发构建网点布局中观、微观模型，采取网格化方式，对重点区域客户分布与网点分布的契合度进行量化分析，持续加强物理网点及自助（智能）服务，在昌平、通州、顺义、大兴等城乡结合部及朝阳、海淀、丰台等辖内新兴商圈增加网点投入，金融服务覆盖面及服务能力进一步增强。</w:t>
      </w:r>
    </w:p>
    <w:p w14:paraId="264C9617" w14:textId="77777777" w:rsidR="00ED5EBF" w:rsidRDefault="00ED5EBF">
      <w:pPr>
        <w:spacing w:line="360" w:lineRule="auto"/>
        <w:ind w:right="357" w:firstLineChars="200" w:firstLine="480"/>
        <w:rPr>
          <w:rFonts w:ascii="华文楷体" w:eastAsia="华文楷体" w:hAnsi="华文楷体"/>
        </w:rPr>
      </w:pPr>
    </w:p>
    <w:p w14:paraId="6326AFE5"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据</w:t>
      </w:r>
      <w:r>
        <w:rPr>
          <w:rFonts w:ascii="华文楷体" w:eastAsia="华文楷体" w:hAnsi="华文楷体" w:hint="eastAsia"/>
        </w:rPr>
        <w:t>了解，工行北京分行在社区网点累计投放</w:t>
      </w:r>
      <w:r>
        <w:rPr>
          <w:rFonts w:ascii="华文楷体" w:eastAsia="华文楷体" w:hAnsi="华文楷体" w:hint="eastAsia"/>
        </w:rPr>
        <w:t>64</w:t>
      </w:r>
      <w:r>
        <w:rPr>
          <w:rFonts w:ascii="华文楷体" w:eastAsia="华文楷体" w:hAnsi="华文楷体" w:hint="eastAsia"/>
        </w:rPr>
        <w:t>台存折自动柜员机，拓宽客户现金业务办理渠道，有效缓解高峰期客户领取养老金排队问题，对外营业网点智能设备实现</w:t>
      </w:r>
      <w:r>
        <w:rPr>
          <w:rFonts w:ascii="华文楷体" w:eastAsia="华文楷体" w:hAnsi="华文楷体" w:hint="eastAsia"/>
        </w:rPr>
        <w:t>100%</w:t>
      </w:r>
      <w:r>
        <w:rPr>
          <w:rFonts w:ascii="华文楷体" w:eastAsia="华文楷体" w:hAnsi="华文楷体" w:hint="eastAsia"/>
        </w:rPr>
        <w:t>全覆盖，注册电子银行、借记卡申请、转账汇款等</w:t>
      </w:r>
      <w:r>
        <w:rPr>
          <w:rFonts w:ascii="华文楷体" w:eastAsia="华文楷体" w:hAnsi="华文楷体" w:hint="eastAsia"/>
        </w:rPr>
        <w:t>80%</w:t>
      </w:r>
      <w:r>
        <w:rPr>
          <w:rFonts w:ascii="华文楷体" w:eastAsia="华文楷体" w:hAnsi="华文楷体" w:hint="eastAsia"/>
        </w:rPr>
        <w:t>以上的业务可以通过智能设备自助办理。积极推广微信小程序的网点预约取号等功能，帮助客户了解网点忙闲情况，减少排队等待时间。截至</w:t>
      </w:r>
      <w:r>
        <w:rPr>
          <w:rFonts w:ascii="华文楷体" w:eastAsia="华文楷体" w:hAnsi="华文楷体" w:hint="eastAsia"/>
        </w:rPr>
        <w:t>2017</w:t>
      </w:r>
      <w:r>
        <w:rPr>
          <w:rFonts w:ascii="华文楷体" w:eastAsia="华文楷体" w:hAnsi="华文楷体" w:hint="eastAsia"/>
        </w:rPr>
        <w:t>年末，客户平均排队时间、超时等候客户数同比分别压降</w:t>
      </w:r>
      <w:r>
        <w:rPr>
          <w:rFonts w:ascii="华文楷体" w:eastAsia="华文楷体" w:hAnsi="华文楷体" w:hint="eastAsia"/>
        </w:rPr>
        <w:t>25.5%</w:t>
      </w:r>
      <w:r>
        <w:rPr>
          <w:rFonts w:ascii="华文楷体" w:eastAsia="华文楷体" w:hAnsi="华文楷体" w:hint="eastAsia"/>
        </w:rPr>
        <w:t>和</w:t>
      </w:r>
      <w:r>
        <w:rPr>
          <w:rFonts w:ascii="华文楷体" w:eastAsia="华文楷体" w:hAnsi="华文楷体" w:hint="eastAsia"/>
        </w:rPr>
        <w:t>50.2%</w:t>
      </w:r>
      <w:r>
        <w:rPr>
          <w:rFonts w:ascii="华文楷体" w:eastAsia="华文楷体" w:hAnsi="华文楷体" w:hint="eastAsia"/>
        </w:rPr>
        <w:t>，客户费力度较年初下降</w:t>
      </w:r>
      <w:r>
        <w:rPr>
          <w:rFonts w:ascii="华文楷体" w:eastAsia="华文楷体" w:hAnsi="华文楷体" w:hint="eastAsia"/>
        </w:rPr>
        <w:t>30%</w:t>
      </w:r>
      <w:r>
        <w:rPr>
          <w:rFonts w:ascii="华文楷体" w:eastAsia="华文楷体" w:hAnsi="华文楷体" w:hint="eastAsia"/>
        </w:rPr>
        <w:t>。</w:t>
      </w:r>
    </w:p>
    <w:p w14:paraId="5E36BF3A" w14:textId="77777777" w:rsidR="00ED5EBF" w:rsidRDefault="00ED5EBF">
      <w:pPr>
        <w:spacing w:line="360" w:lineRule="auto"/>
        <w:ind w:right="357" w:firstLineChars="200" w:firstLine="480"/>
        <w:rPr>
          <w:rFonts w:ascii="华文楷体" w:eastAsia="华文楷体" w:hAnsi="华文楷体"/>
        </w:rPr>
      </w:pPr>
    </w:p>
    <w:p w14:paraId="75530882"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在个人消费领域，工行北京分行致力于为持卡人提供优质的支付受理环境，着力</w:t>
      </w:r>
      <w:r>
        <w:rPr>
          <w:rFonts w:ascii="华文楷体" w:eastAsia="华文楷体" w:hAnsi="华文楷体" w:hint="eastAsia"/>
        </w:rPr>
        <w:t>发展优质特约商户，持续扩大银行卡受理市场规模，特约商户保有量超过</w:t>
      </w:r>
      <w:r>
        <w:rPr>
          <w:rFonts w:ascii="华文楷体" w:eastAsia="华文楷体" w:hAnsi="华文楷体" w:hint="eastAsia"/>
        </w:rPr>
        <w:t>2</w:t>
      </w:r>
      <w:r>
        <w:rPr>
          <w:rFonts w:ascii="华文楷体" w:eastAsia="华文楷体" w:hAnsi="华文楷体" w:hint="eastAsia"/>
        </w:rPr>
        <w:t>万户，涵盖了北京地区诸多知名零售、酒店、保险、医院、航空旅游等消费的重点领域。同时，工行北京分行注重发展新型支付市场，大力推动二维码支付、手机支付的应用推广，依托工行强大的科技系统平台，为广大持卡人提供快捷简便的支付服务。截至</w:t>
      </w:r>
      <w:r>
        <w:rPr>
          <w:rFonts w:ascii="华文楷体" w:eastAsia="华文楷体" w:hAnsi="华文楷体" w:hint="eastAsia"/>
        </w:rPr>
        <w:t>2017</w:t>
      </w:r>
      <w:r>
        <w:rPr>
          <w:rFonts w:ascii="华文楷体" w:eastAsia="华文楷体" w:hAnsi="华文楷体" w:hint="eastAsia"/>
        </w:rPr>
        <w:t>年末，工行北京分行信用卡持卡客户总量达</w:t>
      </w:r>
      <w:r>
        <w:rPr>
          <w:rFonts w:ascii="华文楷体" w:eastAsia="华文楷体" w:hAnsi="华文楷体" w:hint="eastAsia"/>
        </w:rPr>
        <w:t>900</w:t>
      </w:r>
      <w:r>
        <w:rPr>
          <w:rFonts w:ascii="华文楷体" w:eastAsia="华文楷体" w:hAnsi="华文楷体" w:hint="eastAsia"/>
        </w:rPr>
        <w:t>万户，年卡片消费额超过</w:t>
      </w:r>
      <w:r>
        <w:rPr>
          <w:rFonts w:ascii="华文楷体" w:eastAsia="华文楷体" w:hAnsi="华文楷体" w:hint="eastAsia"/>
        </w:rPr>
        <w:t>1200</w:t>
      </w:r>
      <w:r>
        <w:rPr>
          <w:rFonts w:ascii="华文楷体" w:eastAsia="华文楷体" w:hAnsi="华文楷体" w:hint="eastAsia"/>
        </w:rPr>
        <w:t>亿元。</w:t>
      </w:r>
    </w:p>
    <w:p w14:paraId="0D7A4769" w14:textId="77777777" w:rsidR="00ED5EBF" w:rsidRDefault="00ED5EBF">
      <w:pPr>
        <w:spacing w:line="360" w:lineRule="auto"/>
        <w:ind w:right="357" w:firstLineChars="200" w:firstLine="480"/>
        <w:rPr>
          <w:rFonts w:ascii="华文楷体" w:eastAsia="华文楷体" w:hAnsi="华文楷体"/>
        </w:rPr>
      </w:pPr>
    </w:p>
    <w:p w14:paraId="27123514"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深入推进民生领域便民惠民服务创新</w:t>
      </w:r>
    </w:p>
    <w:p w14:paraId="008B0102" w14:textId="77777777" w:rsidR="00ED5EBF" w:rsidRDefault="00ED5EBF">
      <w:pPr>
        <w:spacing w:line="360" w:lineRule="auto"/>
        <w:ind w:right="357" w:firstLineChars="200" w:firstLine="480"/>
        <w:rPr>
          <w:rFonts w:ascii="华文楷体" w:eastAsia="华文楷体" w:hAnsi="华文楷体"/>
        </w:rPr>
      </w:pPr>
    </w:p>
    <w:p w14:paraId="6FB25ACD"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工行北京分行始终致力于为社会全体提供更具针对性、更有价值和整合度更高的金融产品与服务，全方位满足广大客户的新型服务需求。据工行北京分行相关负责人介绍，该行积极履行社会责任，在北京地区一直承担着最大部分的民生金融服务职能。目前，工行北分承担了全市近百万离退休人员养老金的发放工作，为</w:t>
      </w:r>
      <w:r>
        <w:rPr>
          <w:rFonts w:ascii="华文楷体" w:eastAsia="华文楷体" w:hAnsi="华文楷体" w:hint="eastAsia"/>
        </w:rPr>
        <w:t>700</w:t>
      </w:r>
      <w:r>
        <w:rPr>
          <w:rFonts w:ascii="华文楷体" w:eastAsia="华文楷体" w:hAnsi="华文楷体" w:hint="eastAsia"/>
        </w:rPr>
        <w:t>多万人提供交通违章罚款代缴、以及大量的水电燃气费通讯费等居民公共事业费的代收代缴服务。</w:t>
      </w:r>
    </w:p>
    <w:p w14:paraId="285269B4" w14:textId="77777777" w:rsidR="00ED5EBF" w:rsidRDefault="00ED5EBF">
      <w:pPr>
        <w:spacing w:line="360" w:lineRule="auto"/>
        <w:ind w:right="357" w:firstLineChars="200" w:firstLine="480"/>
        <w:rPr>
          <w:rFonts w:ascii="华文楷体" w:eastAsia="华文楷体" w:hAnsi="华文楷体"/>
        </w:rPr>
      </w:pPr>
    </w:p>
    <w:p w14:paraId="7CADEDBC"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为主动适应北京市加快民生领域改革发展的趋势，工行北京分行依托强大的科技优势，不断创新民生领域金融服务，为首都居民提供了极大的便利。“近年</w:t>
      </w:r>
      <w:r>
        <w:rPr>
          <w:rFonts w:ascii="华文楷体" w:eastAsia="华文楷体" w:hAnsi="华文楷体" w:hint="eastAsia"/>
        </w:rPr>
        <w:t>来，工行北分先后与中国人民解放军总医院、北京协和医院、中国中医科学院广安门医院等二十余家著名医院合作推出‘银医一卡通’服务，有效缓解了就医难的问题。”上述负责人介绍。三年来，工行北京分行已累计实现银医卡签约</w:t>
      </w:r>
      <w:r>
        <w:rPr>
          <w:rFonts w:ascii="华文楷体" w:eastAsia="华文楷体" w:hAnsi="华文楷体" w:hint="eastAsia"/>
        </w:rPr>
        <w:t>168</w:t>
      </w:r>
      <w:r>
        <w:rPr>
          <w:rFonts w:ascii="华文楷体" w:eastAsia="华文楷体" w:hAnsi="华文楷体" w:hint="eastAsia"/>
        </w:rPr>
        <w:t>万张，实现预约挂号</w:t>
      </w:r>
      <w:r>
        <w:rPr>
          <w:rFonts w:ascii="华文楷体" w:eastAsia="华文楷体" w:hAnsi="华文楷体" w:hint="eastAsia"/>
        </w:rPr>
        <w:t>411</w:t>
      </w:r>
      <w:r>
        <w:rPr>
          <w:rFonts w:ascii="华文楷体" w:eastAsia="华文楷体" w:hAnsi="华文楷体" w:hint="eastAsia"/>
        </w:rPr>
        <w:t>万余笔。</w:t>
      </w:r>
    </w:p>
    <w:p w14:paraId="37865336" w14:textId="77777777" w:rsidR="00ED5EBF" w:rsidRDefault="00ED5EBF">
      <w:pPr>
        <w:spacing w:line="360" w:lineRule="auto"/>
        <w:ind w:right="357" w:firstLineChars="200" w:firstLine="480"/>
        <w:rPr>
          <w:rFonts w:ascii="华文楷体" w:eastAsia="华文楷体" w:hAnsi="华文楷体"/>
        </w:rPr>
      </w:pPr>
    </w:p>
    <w:p w14:paraId="373319A8"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积极构建一体化互联网普惠金融生态圈</w:t>
      </w:r>
    </w:p>
    <w:p w14:paraId="3E6C101B" w14:textId="77777777" w:rsidR="00ED5EBF" w:rsidRDefault="00ED5EBF">
      <w:pPr>
        <w:spacing w:line="360" w:lineRule="auto"/>
        <w:ind w:right="357" w:firstLineChars="200" w:firstLine="480"/>
        <w:rPr>
          <w:rFonts w:ascii="华文楷体" w:eastAsia="华文楷体" w:hAnsi="华文楷体"/>
        </w:rPr>
      </w:pPr>
    </w:p>
    <w:p w14:paraId="52B2BFFD"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近年来，工行北京分行着眼于平台、场景、客户三个方面，借助互联网金融发展战略全面推动普惠金融落地生根。</w:t>
      </w:r>
    </w:p>
    <w:p w14:paraId="2E7C2122" w14:textId="77777777" w:rsidR="00ED5EBF" w:rsidRDefault="00ED5EBF">
      <w:pPr>
        <w:spacing w:line="360" w:lineRule="auto"/>
        <w:ind w:right="357" w:firstLineChars="200" w:firstLine="480"/>
        <w:rPr>
          <w:rFonts w:ascii="华文楷体" w:eastAsia="华文楷体" w:hAnsi="华文楷体"/>
        </w:rPr>
      </w:pPr>
    </w:p>
    <w:p w14:paraId="6B0FCF1E"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随着工商银行</w:t>
      </w:r>
      <w:r>
        <w:rPr>
          <w:rFonts w:ascii="华文楷体" w:eastAsia="华文楷体" w:hAnsi="华文楷体" w:hint="eastAsia"/>
        </w:rPr>
        <w:t>e-ICBC 3.0</w:t>
      </w:r>
      <w:r>
        <w:rPr>
          <w:rFonts w:ascii="华文楷体" w:eastAsia="华文楷体" w:hAnsi="华文楷体" w:hint="eastAsia"/>
        </w:rPr>
        <w:t>智慧银行战略的提出，工行北京分行充分发挥渠道综合优势，提出以线下网点作为主阵地，以网上银行</w:t>
      </w:r>
      <w:r>
        <w:rPr>
          <w:rFonts w:ascii="华文楷体" w:eastAsia="华文楷体" w:hAnsi="华文楷体" w:hint="eastAsia"/>
        </w:rPr>
        <w:t>、手机银行作为主要渠道的一体化发展模式，以“智慧银行”服务体系更好地服务广大客户。</w:t>
      </w:r>
    </w:p>
    <w:p w14:paraId="5889B3D3" w14:textId="77777777" w:rsidR="00ED5EBF" w:rsidRDefault="00ED5EBF">
      <w:pPr>
        <w:spacing w:line="360" w:lineRule="auto"/>
        <w:ind w:right="357" w:firstLineChars="200" w:firstLine="480"/>
        <w:rPr>
          <w:rFonts w:ascii="华文楷体" w:eastAsia="华文楷体" w:hAnsi="华文楷体"/>
        </w:rPr>
      </w:pPr>
    </w:p>
    <w:p w14:paraId="35C47E4B"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截至</w:t>
      </w:r>
      <w:r>
        <w:rPr>
          <w:rFonts w:ascii="华文楷体" w:eastAsia="华文楷体" w:hAnsi="华文楷体" w:hint="eastAsia"/>
        </w:rPr>
        <w:t>2017</w:t>
      </w:r>
      <w:r>
        <w:rPr>
          <w:rFonts w:ascii="华文楷体" w:eastAsia="华文楷体" w:hAnsi="华文楷体" w:hint="eastAsia"/>
        </w:rPr>
        <w:t>年末，该行融</w:t>
      </w:r>
      <w:r>
        <w:rPr>
          <w:rFonts w:ascii="华文楷体" w:eastAsia="华文楷体" w:hAnsi="华文楷体" w:hint="eastAsia"/>
        </w:rPr>
        <w:t>e</w:t>
      </w:r>
      <w:r>
        <w:rPr>
          <w:rFonts w:ascii="华文楷体" w:eastAsia="华文楷体" w:hAnsi="华文楷体" w:hint="eastAsia"/>
        </w:rPr>
        <w:t>行金融服务平台存量客户数突破一千三百万户，融</w:t>
      </w:r>
      <w:r>
        <w:rPr>
          <w:rFonts w:ascii="华文楷体" w:eastAsia="华文楷体" w:hAnsi="华文楷体" w:hint="eastAsia"/>
        </w:rPr>
        <w:t>e</w:t>
      </w:r>
      <w:r>
        <w:rPr>
          <w:rFonts w:ascii="华文楷体" w:eastAsia="华文楷体" w:hAnsi="华文楷体" w:hint="eastAsia"/>
        </w:rPr>
        <w:t>联交互服务平台存量客户数突破五百万户，客户规模及活跃度均居区域同业首位，融</w:t>
      </w:r>
      <w:r>
        <w:rPr>
          <w:rFonts w:ascii="华文楷体" w:eastAsia="华文楷体" w:hAnsi="华文楷体" w:hint="eastAsia"/>
        </w:rPr>
        <w:t>e</w:t>
      </w:r>
      <w:r>
        <w:rPr>
          <w:rFonts w:ascii="华文楷体" w:eastAsia="华文楷体" w:hAnsi="华文楷体" w:hint="eastAsia"/>
        </w:rPr>
        <w:t>购电商平台交易额逾七百亿元，电子银行交易额连续三年突破百万亿大关，交易规模领跑同业市场。</w:t>
      </w:r>
    </w:p>
    <w:p w14:paraId="4E2DD884" w14:textId="77777777" w:rsidR="00ED5EBF" w:rsidRDefault="00ED5EBF">
      <w:pPr>
        <w:spacing w:line="360" w:lineRule="auto"/>
        <w:ind w:right="357" w:firstLineChars="200" w:firstLine="480"/>
        <w:rPr>
          <w:rFonts w:ascii="华文楷体" w:eastAsia="华文楷体" w:hAnsi="华文楷体"/>
        </w:rPr>
      </w:pPr>
    </w:p>
    <w:p w14:paraId="4FD80E8D"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据介绍，工行北京分行立足智慧银行整体架构，不断丰富具有本地特色的互联网金融产品，</w:t>
      </w:r>
      <w:r>
        <w:rPr>
          <w:rFonts w:ascii="华文楷体" w:eastAsia="华文楷体" w:hAnsi="华文楷体" w:hint="eastAsia"/>
        </w:rPr>
        <w:t>2017</w:t>
      </w:r>
      <w:r>
        <w:rPr>
          <w:rFonts w:ascii="华文楷体" w:eastAsia="华文楷体" w:hAnsi="华文楷体" w:hint="eastAsia"/>
        </w:rPr>
        <w:t>年成功上线手机银行“实时缴税”功能，进一步丰富了工行互联网金融服务场景，为广大纳税人客户提供了更安</w:t>
      </w:r>
      <w:r>
        <w:rPr>
          <w:rFonts w:ascii="华文楷体" w:eastAsia="华文楷体" w:hAnsi="华文楷体" w:hint="eastAsia"/>
        </w:rPr>
        <w:t>全、便捷、优质的服务。截至</w:t>
      </w:r>
      <w:r>
        <w:rPr>
          <w:rFonts w:ascii="华文楷体" w:eastAsia="华文楷体" w:hAnsi="华文楷体" w:hint="eastAsia"/>
        </w:rPr>
        <w:t>2017</w:t>
      </w:r>
      <w:r>
        <w:rPr>
          <w:rFonts w:ascii="华文楷体" w:eastAsia="华文楷体" w:hAnsi="华文楷体" w:hint="eastAsia"/>
        </w:rPr>
        <w:t>年末，客户通过线上缴税达</w:t>
      </w:r>
      <w:r>
        <w:rPr>
          <w:rFonts w:ascii="华文楷体" w:eastAsia="华文楷体" w:hAnsi="华文楷体" w:hint="eastAsia"/>
        </w:rPr>
        <w:t>1.37</w:t>
      </w:r>
      <w:r>
        <w:rPr>
          <w:rFonts w:ascii="华文楷体" w:eastAsia="华文楷体" w:hAnsi="华文楷体" w:hint="eastAsia"/>
        </w:rPr>
        <w:t>万笔，缴税金额累计突破</w:t>
      </w:r>
      <w:r>
        <w:rPr>
          <w:rFonts w:ascii="华文楷体" w:eastAsia="华文楷体" w:hAnsi="华文楷体" w:hint="eastAsia"/>
        </w:rPr>
        <w:t>830</w:t>
      </w:r>
      <w:r>
        <w:rPr>
          <w:rFonts w:ascii="华文楷体" w:eastAsia="华文楷体" w:hAnsi="华文楷体" w:hint="eastAsia"/>
        </w:rPr>
        <w:t>万元。</w:t>
      </w:r>
    </w:p>
    <w:p w14:paraId="2EB325D1" w14:textId="77777777" w:rsidR="00ED5EBF" w:rsidRDefault="00ED5EBF">
      <w:pPr>
        <w:spacing w:line="360" w:lineRule="auto"/>
        <w:ind w:right="357" w:firstLineChars="200" w:firstLine="480"/>
        <w:rPr>
          <w:rFonts w:ascii="华文楷体" w:eastAsia="华文楷体" w:hAnsi="华文楷体"/>
        </w:rPr>
      </w:pPr>
    </w:p>
    <w:p w14:paraId="29BEA0AA" w14:textId="77777777" w:rsidR="00ED5EBF" w:rsidRDefault="00ED5EBF">
      <w:pPr>
        <w:spacing w:line="360" w:lineRule="auto"/>
        <w:ind w:right="357" w:firstLineChars="200" w:firstLine="480"/>
        <w:rPr>
          <w:rFonts w:ascii="华文楷体" w:eastAsia="华文楷体" w:hAnsi="华文楷体"/>
        </w:rPr>
      </w:pPr>
    </w:p>
    <w:p w14:paraId="11265627" w14:textId="77777777" w:rsidR="00ED5EBF" w:rsidRDefault="00ED5EBF">
      <w:pPr>
        <w:spacing w:line="360" w:lineRule="auto"/>
        <w:ind w:right="357" w:firstLineChars="200" w:firstLine="480"/>
        <w:rPr>
          <w:rFonts w:ascii="华文楷体" w:eastAsia="华文楷体" w:hAnsi="华文楷体"/>
        </w:rPr>
      </w:pPr>
    </w:p>
    <w:p w14:paraId="06C3D915" w14:textId="77777777" w:rsidR="00ED5EBF" w:rsidRDefault="00ED5EBF">
      <w:pPr>
        <w:spacing w:line="360" w:lineRule="auto"/>
        <w:ind w:right="357" w:firstLineChars="200" w:firstLine="480"/>
        <w:rPr>
          <w:rFonts w:ascii="华文楷体" w:eastAsia="华文楷体" w:hAnsi="华文楷体"/>
        </w:rPr>
      </w:pPr>
    </w:p>
    <w:p w14:paraId="226BB5F9" w14:textId="77777777" w:rsidR="00ED5EBF" w:rsidRDefault="00ED5EBF">
      <w:pPr>
        <w:spacing w:line="360" w:lineRule="auto"/>
        <w:ind w:right="357" w:firstLineChars="200" w:firstLine="480"/>
        <w:rPr>
          <w:rFonts w:ascii="华文楷体" w:eastAsia="华文楷体" w:hAnsi="华文楷体"/>
        </w:rPr>
      </w:pPr>
    </w:p>
    <w:p w14:paraId="1930E5E7" w14:textId="77777777" w:rsidR="00ED5EBF" w:rsidRDefault="00ED5EBF">
      <w:pPr>
        <w:spacing w:line="360" w:lineRule="auto"/>
        <w:ind w:right="357" w:firstLineChars="200" w:firstLine="480"/>
        <w:rPr>
          <w:rFonts w:ascii="华文楷体" w:eastAsia="华文楷体" w:hAnsi="华文楷体"/>
        </w:rPr>
      </w:pPr>
    </w:p>
    <w:p w14:paraId="03F09D99" w14:textId="77777777" w:rsidR="00ED5EBF" w:rsidRDefault="00ED5EBF">
      <w:pPr>
        <w:spacing w:line="360" w:lineRule="auto"/>
        <w:ind w:right="357" w:firstLineChars="200" w:firstLine="480"/>
        <w:rPr>
          <w:rFonts w:ascii="华文楷体" w:eastAsia="华文楷体" w:hAnsi="华文楷体"/>
        </w:rPr>
      </w:pPr>
    </w:p>
    <w:p w14:paraId="40DA9F6B" w14:textId="77777777" w:rsidR="00ED5EBF" w:rsidRDefault="00ED5EBF">
      <w:pPr>
        <w:spacing w:line="360" w:lineRule="auto"/>
        <w:ind w:right="357" w:firstLineChars="200" w:firstLine="480"/>
        <w:rPr>
          <w:rFonts w:ascii="华文楷体" w:eastAsia="华文楷体" w:hAnsi="华文楷体"/>
        </w:rPr>
      </w:pPr>
    </w:p>
    <w:p w14:paraId="1E22A57D" w14:textId="77777777" w:rsidR="00ED5EBF" w:rsidRDefault="00ED5EBF">
      <w:pPr>
        <w:spacing w:line="360" w:lineRule="auto"/>
        <w:ind w:right="357" w:firstLineChars="200" w:firstLine="480"/>
        <w:rPr>
          <w:rFonts w:ascii="华文楷体" w:eastAsia="华文楷体" w:hAnsi="华文楷体"/>
        </w:rPr>
      </w:pPr>
    </w:p>
    <w:p w14:paraId="3233692E" w14:textId="77777777" w:rsidR="00ED5EBF" w:rsidRDefault="00ED5EBF">
      <w:pPr>
        <w:spacing w:line="360" w:lineRule="auto"/>
        <w:ind w:right="357" w:firstLineChars="200" w:firstLine="480"/>
        <w:rPr>
          <w:rFonts w:ascii="华文楷体" w:eastAsia="华文楷体" w:hAnsi="华文楷体"/>
        </w:rPr>
      </w:pPr>
    </w:p>
    <w:p w14:paraId="7956C919" w14:textId="77777777" w:rsidR="00ED5EBF" w:rsidRDefault="00ED5EBF">
      <w:pPr>
        <w:spacing w:line="360" w:lineRule="auto"/>
        <w:ind w:right="357" w:firstLineChars="200" w:firstLine="480"/>
        <w:rPr>
          <w:rFonts w:ascii="华文楷体" w:eastAsia="华文楷体" w:hAnsi="华文楷体"/>
        </w:rPr>
      </w:pPr>
    </w:p>
    <w:p w14:paraId="116DB78D" w14:textId="77777777" w:rsidR="00ED5EBF" w:rsidRDefault="00ED5EBF">
      <w:pPr>
        <w:spacing w:line="360" w:lineRule="auto"/>
        <w:ind w:right="357" w:firstLineChars="200" w:firstLine="480"/>
        <w:rPr>
          <w:rFonts w:ascii="华文楷体" w:eastAsia="华文楷体" w:hAnsi="华文楷体"/>
        </w:rPr>
      </w:pPr>
    </w:p>
    <w:p w14:paraId="39274C41" w14:textId="77777777" w:rsidR="00ED5EBF" w:rsidRDefault="00ED5EBF">
      <w:pPr>
        <w:spacing w:line="360" w:lineRule="auto"/>
        <w:ind w:right="357" w:firstLineChars="200" w:firstLine="480"/>
        <w:rPr>
          <w:rFonts w:ascii="华文楷体" w:eastAsia="华文楷体" w:hAnsi="华文楷体"/>
        </w:rPr>
      </w:pPr>
    </w:p>
    <w:p w14:paraId="33A51DA6" w14:textId="77777777" w:rsidR="00ED5EBF" w:rsidRDefault="00ED5EBF">
      <w:pPr>
        <w:spacing w:line="360" w:lineRule="auto"/>
        <w:ind w:right="357" w:firstLineChars="200" w:firstLine="480"/>
        <w:rPr>
          <w:rFonts w:ascii="华文楷体" w:eastAsia="华文楷体" w:hAnsi="华文楷体"/>
        </w:rPr>
      </w:pPr>
    </w:p>
    <w:p w14:paraId="606F4072" w14:textId="77777777" w:rsidR="00ED5EBF" w:rsidRDefault="00ED5EBF">
      <w:pPr>
        <w:spacing w:line="360" w:lineRule="auto"/>
        <w:ind w:right="357" w:firstLineChars="200" w:firstLine="480"/>
        <w:rPr>
          <w:rFonts w:ascii="华文楷体" w:eastAsia="华文楷体" w:hAnsi="华文楷体"/>
        </w:rPr>
      </w:pPr>
    </w:p>
    <w:p w14:paraId="270838C5" w14:textId="77777777" w:rsidR="00ED5EBF" w:rsidRDefault="00ED5EBF">
      <w:pPr>
        <w:spacing w:line="360" w:lineRule="auto"/>
        <w:ind w:right="357" w:firstLineChars="200" w:firstLine="480"/>
        <w:rPr>
          <w:rFonts w:ascii="华文楷体" w:eastAsia="华文楷体" w:hAnsi="华文楷体"/>
        </w:rPr>
      </w:pPr>
    </w:p>
    <w:p w14:paraId="0176B1DD" w14:textId="77777777" w:rsidR="00ED5EBF" w:rsidRDefault="00ED5EBF">
      <w:pPr>
        <w:spacing w:line="360" w:lineRule="auto"/>
        <w:ind w:right="357" w:firstLineChars="200" w:firstLine="480"/>
        <w:rPr>
          <w:rFonts w:ascii="华文楷体" w:eastAsia="华文楷体" w:hAnsi="华文楷体"/>
        </w:rPr>
      </w:pPr>
    </w:p>
    <w:p w14:paraId="41922C06" w14:textId="77777777" w:rsidR="00ED5EBF" w:rsidRDefault="00ED5EBF">
      <w:pPr>
        <w:spacing w:line="360" w:lineRule="auto"/>
        <w:ind w:right="357" w:firstLineChars="200" w:firstLine="480"/>
        <w:rPr>
          <w:rFonts w:ascii="华文楷体" w:eastAsia="华文楷体" w:hAnsi="华文楷体"/>
        </w:rPr>
      </w:pPr>
    </w:p>
    <w:p w14:paraId="1FAFB9A0" w14:textId="77777777" w:rsidR="00ED5EBF" w:rsidRDefault="00ED5EBF">
      <w:pPr>
        <w:spacing w:line="360" w:lineRule="auto"/>
        <w:ind w:right="357" w:firstLineChars="200" w:firstLine="480"/>
        <w:rPr>
          <w:rFonts w:ascii="华文楷体" w:eastAsia="华文楷体" w:hAnsi="华文楷体"/>
        </w:rPr>
      </w:pPr>
    </w:p>
    <w:p w14:paraId="3370ED17" w14:textId="77777777" w:rsidR="00ED5EBF" w:rsidRDefault="00ED5EBF">
      <w:pPr>
        <w:spacing w:line="360" w:lineRule="auto"/>
        <w:ind w:right="357"/>
        <w:rPr>
          <w:rFonts w:ascii="华文楷体" w:eastAsia="华文楷体" w:hAnsi="华文楷体"/>
        </w:rPr>
      </w:pPr>
    </w:p>
    <w:p w14:paraId="0E446D84" w14:textId="77777777" w:rsidR="00ED5EBF" w:rsidRDefault="002034C8">
      <w:pPr>
        <w:spacing w:line="360" w:lineRule="auto"/>
        <w:ind w:right="357" w:firstLineChars="200" w:firstLine="480"/>
        <w:jc w:val="center"/>
        <w:rPr>
          <w:rFonts w:ascii="华文中宋" w:eastAsia="华文中宋" w:hAnsi="华文中宋" w:cs="华文中宋"/>
          <w:b/>
        </w:rPr>
      </w:pPr>
      <w:bookmarkStart w:id="35" w:name="北京将利用区块链等技术打造新型信用监管格局"/>
      <w:r>
        <w:rPr>
          <w:rFonts w:ascii="华文中宋" w:eastAsia="华文中宋" w:hAnsi="华文中宋" w:cs="华文中宋" w:hint="eastAsia"/>
          <w:b/>
        </w:rPr>
        <w:t>北京将利用区块链等技术打造新型信用监管格局</w:t>
      </w:r>
    </w:p>
    <w:bookmarkEnd w:id="35"/>
    <w:p w14:paraId="722A127A" w14:textId="77777777" w:rsidR="00ED5EBF" w:rsidRDefault="002034C8">
      <w:pPr>
        <w:spacing w:line="360" w:lineRule="auto"/>
        <w:ind w:right="357" w:firstLineChars="200" w:firstLine="480"/>
        <w:jc w:val="center"/>
        <w:rPr>
          <w:rFonts w:ascii="华文楷体" w:eastAsia="华文楷体" w:hAnsi="华文楷体"/>
          <w:szCs w:val="21"/>
        </w:rPr>
      </w:pPr>
      <w:r>
        <w:rPr>
          <w:rFonts w:ascii="华文楷体" w:eastAsia="华文楷体" w:hAnsi="华文楷体" w:hint="eastAsia"/>
          <w:szCs w:val="21"/>
        </w:rPr>
        <w:t>时间：</w:t>
      </w:r>
      <w:r>
        <w:rPr>
          <w:rFonts w:ascii="华文楷体" w:eastAsia="华文楷体" w:hAnsi="华文楷体" w:hint="eastAsia"/>
          <w:szCs w:val="21"/>
        </w:rPr>
        <w:t xml:space="preserve">2018-03-13  </w:t>
      </w:r>
      <w:r>
        <w:rPr>
          <w:rFonts w:ascii="华文楷体" w:eastAsia="华文楷体" w:hAnsi="华文楷体" w:hint="eastAsia"/>
          <w:szCs w:val="21"/>
        </w:rPr>
        <w:t>来源：中国新闻网</w:t>
      </w:r>
    </w:p>
    <w:p w14:paraId="5313D4FF" w14:textId="77777777" w:rsidR="00ED5EBF" w:rsidRDefault="00ED5EBF">
      <w:pPr>
        <w:spacing w:line="360" w:lineRule="auto"/>
        <w:ind w:right="357"/>
        <w:rPr>
          <w:rFonts w:ascii="华文楷体" w:eastAsia="华文楷体" w:hAnsi="华文楷体"/>
        </w:rPr>
      </w:pPr>
    </w:p>
    <w:p w14:paraId="3ADF0C16"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北京将遴选信用大数据创新应用试点项目，运用大数据、区块链等先进技术和资源，构建以信用为核心的新型市场监管机制和创新社会治理，包括构建京津冀信用大数据整合共享新模式以及开发市民、企业等主体信用评价指标体系等，从而形成守信联合激励和失信联合惩戒的格局。</w:t>
      </w:r>
    </w:p>
    <w:p w14:paraId="19DF6C7B" w14:textId="77777777" w:rsidR="00ED5EBF" w:rsidRDefault="00ED5EBF">
      <w:pPr>
        <w:spacing w:line="360" w:lineRule="auto"/>
        <w:ind w:right="357" w:firstLineChars="200" w:firstLine="480"/>
        <w:rPr>
          <w:rFonts w:ascii="华文楷体" w:eastAsia="华文楷体" w:hAnsi="华文楷体"/>
        </w:rPr>
      </w:pPr>
    </w:p>
    <w:p w14:paraId="2B515EE9"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11</w:t>
      </w:r>
      <w:r>
        <w:rPr>
          <w:rFonts w:ascii="华文楷体" w:eastAsia="华文楷体" w:hAnsi="华文楷体" w:hint="eastAsia"/>
        </w:rPr>
        <w:t>日，记者从北京市经济和信息化委员会获悉，本月底前，北京将围绕信用大数据资源整合共享与创新成果转化、重点领域信用大数据深度应用、信用大数据创新集聚发展三个方面，遴选一批信用大数据发展试点示范项目。</w:t>
      </w:r>
    </w:p>
    <w:p w14:paraId="6BB2DB45" w14:textId="77777777" w:rsidR="00ED5EBF" w:rsidRDefault="00ED5EBF">
      <w:pPr>
        <w:spacing w:line="360" w:lineRule="auto"/>
        <w:ind w:right="357" w:firstLineChars="200" w:firstLine="480"/>
        <w:rPr>
          <w:rFonts w:ascii="华文楷体" w:eastAsia="华文楷体" w:hAnsi="华文楷体"/>
        </w:rPr>
      </w:pPr>
    </w:p>
    <w:p w14:paraId="4792E2F9"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其中，在信用大数据资源整合共享与创新成果转化方面，北京将支持建设基于大数据、区块链等技术的创新型信用大数据行业服务平台，完善相关管理制度与标准规范；推动京津冀三地信用体系对接，构建信用大数据整合共享新模式。</w:t>
      </w:r>
    </w:p>
    <w:p w14:paraId="691A3C80" w14:textId="77777777" w:rsidR="00ED5EBF" w:rsidRDefault="00ED5EBF">
      <w:pPr>
        <w:spacing w:line="360" w:lineRule="auto"/>
        <w:ind w:right="357" w:firstLineChars="200" w:firstLine="480"/>
        <w:rPr>
          <w:rFonts w:ascii="华文楷体" w:eastAsia="华文楷体" w:hAnsi="华文楷体"/>
        </w:rPr>
      </w:pPr>
    </w:p>
    <w:p w14:paraId="2E8FF6BC"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在重点领域信用大数据深度应用方面，北京鼓励面向环境保护、互联网金融等重点行业和领域，构建以信用为核心的新型行业监管机制；支持第三方社会机构运用大数据资源和技术，开发市民、企业、行业协会商会、社会组织等主体的诚信评价指标体系，提高社会主体诚信自律意识。此外，鼓励运用大数据建立创新型中小微企业信用体系以及信用资产定价方法和交易渠道，开发信用大数据金融产品，解决中小微企业融资难、融资贵问题。</w:t>
      </w:r>
    </w:p>
    <w:p w14:paraId="63F943EA" w14:textId="77777777" w:rsidR="00ED5EBF" w:rsidRDefault="00ED5EBF">
      <w:pPr>
        <w:spacing w:line="360" w:lineRule="auto"/>
        <w:ind w:right="357" w:firstLineChars="200" w:firstLine="480"/>
        <w:rPr>
          <w:rFonts w:ascii="华文楷体" w:eastAsia="华文楷体" w:hAnsi="华文楷体"/>
        </w:rPr>
      </w:pPr>
    </w:p>
    <w:p w14:paraId="6CAF5BFF"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在信用大数据创新集聚发展方面，北京将鼓励企业和有条件的区域合作，优先利用腾退产业空间资源，建设信用大数据创新应用基地或产</w:t>
      </w:r>
      <w:r>
        <w:rPr>
          <w:rFonts w:ascii="华文楷体" w:eastAsia="华文楷体" w:hAnsi="华文楷体" w:hint="eastAsia"/>
        </w:rPr>
        <w:t>业园，开展信用大数据、区块链创新应用项目孵化，促进产学研一体化联合攻关及成果转化，推动政府引导资金和产业资本、金融机构等共同参与的信用大数据投资生态链建设。</w:t>
      </w:r>
    </w:p>
    <w:p w14:paraId="1E69265F" w14:textId="77777777" w:rsidR="00ED5EBF" w:rsidRDefault="00ED5EBF">
      <w:pPr>
        <w:spacing w:line="360" w:lineRule="auto"/>
        <w:ind w:right="357" w:firstLineChars="200" w:firstLine="480"/>
        <w:rPr>
          <w:rFonts w:ascii="华文楷体" w:eastAsia="华文楷体" w:hAnsi="华文楷体"/>
        </w:rPr>
      </w:pPr>
    </w:p>
    <w:p w14:paraId="42F1D12B"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北京市经信委表示，将通过试点先行，总结推广可复制的经验、做法，推进形成一批信用大数据资源整合新模式、培育一批信用大数据服务机构，建立一套相关管理制度和标准规范，为北京科技创新中心建设、京津冀协同发展、优化营商环境、服务民生等方面发挥支撑作用。</w:t>
      </w:r>
    </w:p>
    <w:p w14:paraId="51F24379" w14:textId="77777777" w:rsidR="00ED5EBF" w:rsidRDefault="00ED5EBF">
      <w:pPr>
        <w:spacing w:line="360" w:lineRule="auto"/>
        <w:ind w:right="357" w:firstLineChars="200" w:firstLine="480"/>
        <w:rPr>
          <w:rFonts w:ascii="华文楷体" w:eastAsia="华文楷体" w:hAnsi="华文楷体"/>
        </w:rPr>
      </w:pPr>
    </w:p>
    <w:p w14:paraId="56136587" w14:textId="77777777" w:rsidR="00ED5EBF" w:rsidRDefault="00ED5EBF">
      <w:pPr>
        <w:spacing w:line="360" w:lineRule="auto"/>
        <w:ind w:right="357" w:firstLineChars="200" w:firstLine="480"/>
        <w:rPr>
          <w:rFonts w:ascii="华文楷体" w:eastAsia="华文楷体" w:hAnsi="华文楷体"/>
        </w:rPr>
      </w:pPr>
    </w:p>
    <w:p w14:paraId="412ACD73" w14:textId="77777777" w:rsidR="00ED5EBF" w:rsidRDefault="00ED5EBF">
      <w:pPr>
        <w:spacing w:line="360" w:lineRule="auto"/>
        <w:ind w:right="357" w:firstLineChars="200" w:firstLine="480"/>
        <w:rPr>
          <w:rFonts w:ascii="华文楷体" w:eastAsia="华文楷体" w:hAnsi="华文楷体"/>
        </w:rPr>
      </w:pPr>
    </w:p>
    <w:p w14:paraId="221893B7" w14:textId="77777777" w:rsidR="00ED5EBF" w:rsidRDefault="00ED5EBF">
      <w:pPr>
        <w:spacing w:line="360" w:lineRule="auto"/>
        <w:ind w:right="357" w:firstLineChars="200" w:firstLine="480"/>
        <w:rPr>
          <w:rFonts w:ascii="华文楷体" w:eastAsia="华文楷体" w:hAnsi="华文楷体"/>
        </w:rPr>
      </w:pPr>
    </w:p>
    <w:p w14:paraId="23E78C47" w14:textId="77777777" w:rsidR="00ED5EBF" w:rsidRDefault="00ED5EBF">
      <w:pPr>
        <w:spacing w:line="360" w:lineRule="auto"/>
        <w:ind w:right="357" w:firstLineChars="200" w:firstLine="480"/>
        <w:rPr>
          <w:rFonts w:ascii="华文楷体" w:eastAsia="华文楷体" w:hAnsi="华文楷体"/>
        </w:rPr>
      </w:pPr>
    </w:p>
    <w:p w14:paraId="04FD4D7F" w14:textId="77777777" w:rsidR="00ED5EBF" w:rsidRDefault="00ED5EBF">
      <w:pPr>
        <w:spacing w:line="360" w:lineRule="auto"/>
        <w:ind w:right="357" w:firstLineChars="200" w:firstLine="480"/>
        <w:rPr>
          <w:rFonts w:ascii="华文楷体" w:eastAsia="华文楷体" w:hAnsi="华文楷体"/>
        </w:rPr>
      </w:pPr>
    </w:p>
    <w:p w14:paraId="0492C27A" w14:textId="77777777" w:rsidR="00ED5EBF" w:rsidRDefault="00ED5EBF">
      <w:pPr>
        <w:spacing w:line="360" w:lineRule="auto"/>
        <w:ind w:right="357" w:firstLineChars="200" w:firstLine="480"/>
        <w:rPr>
          <w:rFonts w:ascii="华文楷体" w:eastAsia="华文楷体" w:hAnsi="华文楷体"/>
        </w:rPr>
      </w:pPr>
    </w:p>
    <w:p w14:paraId="0D3B84C9" w14:textId="77777777" w:rsidR="00ED5EBF" w:rsidRDefault="00ED5EBF">
      <w:pPr>
        <w:spacing w:line="360" w:lineRule="auto"/>
        <w:ind w:right="357" w:firstLineChars="200" w:firstLine="480"/>
        <w:rPr>
          <w:rFonts w:ascii="华文楷体" w:eastAsia="华文楷体" w:hAnsi="华文楷体"/>
        </w:rPr>
      </w:pPr>
    </w:p>
    <w:p w14:paraId="3F61CAEB" w14:textId="77777777" w:rsidR="00ED5EBF" w:rsidRDefault="00ED5EBF">
      <w:pPr>
        <w:spacing w:line="360" w:lineRule="auto"/>
        <w:ind w:right="357" w:firstLineChars="200" w:firstLine="480"/>
        <w:rPr>
          <w:rFonts w:ascii="华文楷体" w:eastAsia="华文楷体" w:hAnsi="华文楷体"/>
        </w:rPr>
      </w:pPr>
    </w:p>
    <w:p w14:paraId="25B2602E" w14:textId="77777777" w:rsidR="00ED5EBF" w:rsidRDefault="00ED5EBF">
      <w:pPr>
        <w:spacing w:line="360" w:lineRule="auto"/>
        <w:ind w:right="357" w:firstLineChars="200" w:firstLine="480"/>
        <w:rPr>
          <w:rFonts w:ascii="华文楷体" w:eastAsia="华文楷体" w:hAnsi="华文楷体"/>
        </w:rPr>
      </w:pPr>
    </w:p>
    <w:p w14:paraId="47209123" w14:textId="77777777" w:rsidR="00ED5EBF" w:rsidRDefault="002034C8">
      <w:pPr>
        <w:spacing w:line="360" w:lineRule="auto"/>
        <w:ind w:right="357" w:firstLineChars="200" w:firstLine="480"/>
        <w:jc w:val="center"/>
        <w:rPr>
          <w:rFonts w:ascii="华文中宋" w:eastAsia="华文中宋" w:hAnsi="华文中宋" w:cs="华文中宋"/>
          <w:b/>
        </w:rPr>
      </w:pPr>
      <w:bookmarkStart w:id="36" w:name="金融业今年聚焦防风险攻坚战"/>
      <w:r>
        <w:rPr>
          <w:rFonts w:ascii="华文中宋" w:eastAsia="华文中宋" w:hAnsi="华文中宋" w:cs="华文中宋" w:hint="eastAsia"/>
          <w:b/>
        </w:rPr>
        <w:t>金融业今年聚焦防风险攻坚战</w:t>
      </w:r>
    </w:p>
    <w:bookmarkEnd w:id="36"/>
    <w:p w14:paraId="476CD00B" w14:textId="77777777" w:rsidR="00ED5EBF" w:rsidRDefault="002034C8">
      <w:pPr>
        <w:spacing w:line="360" w:lineRule="auto"/>
        <w:ind w:right="357" w:firstLineChars="200" w:firstLine="480"/>
        <w:jc w:val="center"/>
        <w:rPr>
          <w:rFonts w:ascii="华文楷体" w:eastAsia="华文楷体" w:hAnsi="华文楷体"/>
          <w:szCs w:val="21"/>
        </w:rPr>
      </w:pPr>
      <w:r>
        <w:rPr>
          <w:rFonts w:ascii="华文楷体" w:eastAsia="华文楷体" w:hAnsi="华文楷体" w:hint="eastAsia"/>
          <w:szCs w:val="21"/>
        </w:rPr>
        <w:t>时间：</w:t>
      </w:r>
      <w:r>
        <w:rPr>
          <w:rFonts w:ascii="华文楷体" w:eastAsia="华文楷体" w:hAnsi="华文楷体" w:hint="eastAsia"/>
          <w:szCs w:val="21"/>
        </w:rPr>
        <w:t xml:space="preserve">2018-03-13  </w:t>
      </w:r>
      <w:r>
        <w:rPr>
          <w:rFonts w:ascii="华文楷体" w:eastAsia="华文楷体" w:hAnsi="华文楷体" w:hint="eastAsia"/>
          <w:szCs w:val="21"/>
        </w:rPr>
        <w:t>来源：经济参考报</w:t>
      </w:r>
    </w:p>
    <w:p w14:paraId="34761827" w14:textId="77777777" w:rsidR="00ED5EBF" w:rsidRDefault="00ED5EBF">
      <w:pPr>
        <w:spacing w:line="360" w:lineRule="auto"/>
        <w:ind w:right="357"/>
        <w:rPr>
          <w:rFonts w:ascii="华文楷体" w:eastAsia="华文楷体" w:hAnsi="华文楷体"/>
          <w:szCs w:val="21"/>
        </w:rPr>
      </w:pPr>
    </w:p>
    <w:p w14:paraId="3189680F"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防范化解重大风险是</w:t>
      </w:r>
      <w:r>
        <w:rPr>
          <w:rFonts w:ascii="华文楷体" w:eastAsia="华文楷体" w:hAnsi="华文楷体" w:hint="eastAsia"/>
        </w:rPr>
        <w:t>2018</w:t>
      </w:r>
      <w:r>
        <w:rPr>
          <w:rFonts w:ascii="华文楷体" w:eastAsia="华文楷体" w:hAnsi="华文楷体" w:hint="eastAsia"/>
        </w:rPr>
        <w:t>年要打好的三大攻坚战之一。今年两会，这一话题也得到了普遍关注。来自一行三会的监管人士、代表委员们普遍认为，我国正在进入稳杠杆和逐步调降杠杆阶段，防风险将是今后一段时间金融领域工作的重中之重。</w:t>
      </w:r>
    </w:p>
    <w:p w14:paraId="7F69E3C2" w14:textId="77777777" w:rsidR="00ED5EBF" w:rsidRDefault="00ED5EBF">
      <w:pPr>
        <w:spacing w:line="360" w:lineRule="auto"/>
        <w:ind w:right="357" w:firstLineChars="200" w:firstLine="480"/>
        <w:rPr>
          <w:rFonts w:ascii="华文楷体" w:eastAsia="华文楷体" w:hAnsi="华文楷体"/>
        </w:rPr>
      </w:pPr>
    </w:p>
    <w:p w14:paraId="1C53814A"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监管层严控金融风险</w:t>
      </w:r>
    </w:p>
    <w:p w14:paraId="4A93B871" w14:textId="77777777" w:rsidR="00ED5EBF" w:rsidRDefault="00ED5EBF">
      <w:pPr>
        <w:spacing w:line="360" w:lineRule="auto"/>
        <w:ind w:right="357" w:firstLineChars="200" w:firstLine="480"/>
        <w:rPr>
          <w:rFonts w:ascii="华文楷体" w:eastAsia="华文楷体" w:hAnsi="华文楷体"/>
        </w:rPr>
      </w:pPr>
    </w:p>
    <w:p w14:paraId="2017A89C"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金融监管部门高度重视有关防控金融风险的工作。中国人民银行行长周小川</w:t>
      </w:r>
      <w:r>
        <w:rPr>
          <w:rFonts w:ascii="华文楷体" w:eastAsia="华文楷体" w:hAnsi="华文楷体" w:hint="eastAsia"/>
        </w:rPr>
        <w:t>3</w:t>
      </w:r>
      <w:r>
        <w:rPr>
          <w:rFonts w:ascii="华文楷体" w:eastAsia="华文楷体" w:hAnsi="华文楷体" w:hint="eastAsia"/>
        </w:rPr>
        <w:t>月</w:t>
      </w:r>
      <w:r>
        <w:rPr>
          <w:rFonts w:ascii="华文楷体" w:eastAsia="华文楷体" w:hAnsi="华文楷体" w:hint="eastAsia"/>
        </w:rPr>
        <w:t>9</w:t>
      </w:r>
      <w:r>
        <w:rPr>
          <w:rFonts w:ascii="华文楷体" w:eastAsia="华文楷体" w:hAnsi="华文楷体" w:hint="eastAsia"/>
        </w:rPr>
        <w:t>日表示，中国整体债务增长较快的情况已经平稳下来，在总量上进入了稳杠杆和逐步调降杠杆的阶段。他强调，当前，一些金融监管的空白地带需要尽快填补，一些具有缺陷的金融监管规则需要增强制定，一些已经发生的金融</w:t>
      </w:r>
      <w:r>
        <w:rPr>
          <w:rFonts w:ascii="华文楷体" w:eastAsia="华文楷体" w:hAnsi="华文楷体" w:hint="eastAsia"/>
        </w:rPr>
        <w:t>机构或者准金融机构的风险需要抓紧进行处置。</w:t>
      </w:r>
    </w:p>
    <w:p w14:paraId="46AC2F2E" w14:textId="77777777" w:rsidR="00ED5EBF" w:rsidRDefault="00ED5EBF">
      <w:pPr>
        <w:spacing w:line="360" w:lineRule="auto"/>
        <w:ind w:right="357" w:firstLineChars="200" w:firstLine="480"/>
        <w:rPr>
          <w:rFonts w:ascii="华文楷体" w:eastAsia="华文楷体" w:hAnsi="华文楷体"/>
        </w:rPr>
      </w:pPr>
    </w:p>
    <w:p w14:paraId="569ACEA0"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中国银监会主席郭树清表示，打好防范风险攻坚战，要稳定和降低杠杆率，企业部门、政府、居民家庭的杠杆率都需要降低。对于各种违法违规的经营活动都必须坚决制止。下一步继续聚焦影子银行、信托、互联网金融等薄弱环节，继续加大整治力度。同业、理财、表外等交叉金融风险仍是重点整治领域。</w:t>
      </w:r>
    </w:p>
    <w:p w14:paraId="0BF5C4F1" w14:textId="77777777" w:rsidR="00ED5EBF" w:rsidRDefault="00ED5EBF">
      <w:pPr>
        <w:spacing w:line="360" w:lineRule="auto"/>
        <w:ind w:right="357" w:firstLineChars="200" w:firstLine="480"/>
        <w:rPr>
          <w:rFonts w:ascii="华文楷体" w:eastAsia="华文楷体" w:hAnsi="华文楷体"/>
        </w:rPr>
      </w:pPr>
    </w:p>
    <w:p w14:paraId="6E910BD8"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中国保监会则在</w:t>
      </w:r>
      <w:r>
        <w:rPr>
          <w:rFonts w:ascii="华文楷体" w:eastAsia="华文楷体" w:hAnsi="华文楷体" w:hint="eastAsia"/>
        </w:rPr>
        <w:t>3</w:t>
      </w:r>
      <w:r>
        <w:rPr>
          <w:rFonts w:ascii="华文楷体" w:eastAsia="华文楷体" w:hAnsi="华文楷体" w:hint="eastAsia"/>
        </w:rPr>
        <w:t>月</w:t>
      </w:r>
      <w:r>
        <w:rPr>
          <w:rFonts w:ascii="华文楷体" w:eastAsia="华文楷体" w:hAnsi="华文楷体" w:hint="eastAsia"/>
        </w:rPr>
        <w:t>7</w:t>
      </w:r>
      <w:r>
        <w:rPr>
          <w:rFonts w:ascii="华文楷体" w:eastAsia="华文楷体" w:hAnsi="华文楷体" w:hint="eastAsia"/>
        </w:rPr>
        <w:t>日发布了新修订后的《保险公司股权管理办法》（下称“办法”），将于</w:t>
      </w:r>
      <w:r>
        <w:rPr>
          <w:rFonts w:ascii="华文楷体" w:eastAsia="华文楷体" w:hAnsi="华文楷体" w:hint="eastAsia"/>
        </w:rPr>
        <w:t>4</w:t>
      </w:r>
      <w:r>
        <w:rPr>
          <w:rFonts w:ascii="华文楷体" w:eastAsia="华文楷体" w:hAnsi="华文楷体" w:hint="eastAsia"/>
        </w:rPr>
        <w:t>月</w:t>
      </w:r>
      <w:r>
        <w:rPr>
          <w:rFonts w:ascii="华文楷体" w:eastAsia="华文楷体" w:hAnsi="华文楷体" w:hint="eastAsia"/>
        </w:rPr>
        <w:t>10</w:t>
      </w:r>
      <w:r>
        <w:rPr>
          <w:rFonts w:ascii="华文楷体" w:eastAsia="华文楷体" w:hAnsi="华文楷体" w:hint="eastAsia"/>
        </w:rPr>
        <w:t>日正式实施。办法对保险公司股东进行了详细分类，将单一股东最高持股比例由</w:t>
      </w:r>
      <w:r>
        <w:rPr>
          <w:rFonts w:ascii="华文楷体" w:eastAsia="华文楷体" w:hAnsi="华文楷体" w:hint="eastAsia"/>
        </w:rPr>
        <w:t>51%</w:t>
      </w:r>
      <w:r>
        <w:rPr>
          <w:rFonts w:ascii="华文楷体" w:eastAsia="华文楷体" w:hAnsi="华文楷体" w:hint="eastAsia"/>
        </w:rPr>
        <w:t>下调至公司注册资本的</w:t>
      </w:r>
      <w:r>
        <w:rPr>
          <w:rFonts w:ascii="华文楷体" w:eastAsia="华文楷体" w:hAnsi="华文楷体" w:hint="eastAsia"/>
        </w:rPr>
        <w:t>1/</w:t>
      </w:r>
      <w:r>
        <w:rPr>
          <w:rFonts w:ascii="华文楷体" w:eastAsia="华文楷体" w:hAnsi="华文楷体" w:hint="eastAsia"/>
        </w:rPr>
        <w:t>3</w:t>
      </w:r>
      <w:r>
        <w:rPr>
          <w:rFonts w:ascii="华文楷体" w:eastAsia="华文楷体" w:hAnsi="华文楷体" w:hint="eastAsia"/>
        </w:rPr>
        <w:t>。业内人士认为，此次新规意在加强对险企股东的管理，严控股东实力影响力，防止单一独大股东利用保险作为融资渠道进行激进的投资活动。</w:t>
      </w:r>
    </w:p>
    <w:p w14:paraId="4D804372" w14:textId="77777777" w:rsidR="00ED5EBF" w:rsidRDefault="00ED5EBF">
      <w:pPr>
        <w:spacing w:line="360" w:lineRule="auto"/>
        <w:ind w:right="357" w:firstLineChars="200" w:firstLine="480"/>
        <w:rPr>
          <w:rFonts w:ascii="华文楷体" w:eastAsia="华文楷体" w:hAnsi="华文楷体"/>
        </w:rPr>
      </w:pPr>
    </w:p>
    <w:p w14:paraId="4CA84E7F"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中国人民银行副行长、国家外汇管理局局长潘功胜则表示，人民银行长期以来一直坚持审慎的房地产信贷政策，我国的房地产信贷质量总体上良好，房地产金融风险是可控的。但同时也关注到个人住房贷款、家庭部门杠杆率增长速度有点快，个别房地产企业在财务方面比较激进，存在一些风险，这些都在密切关注之中。</w:t>
      </w:r>
    </w:p>
    <w:p w14:paraId="6FD82F0F" w14:textId="77777777" w:rsidR="00ED5EBF" w:rsidRDefault="00ED5EBF">
      <w:pPr>
        <w:spacing w:line="360" w:lineRule="auto"/>
        <w:ind w:right="357" w:firstLineChars="200" w:firstLine="480"/>
        <w:rPr>
          <w:rFonts w:ascii="华文楷体" w:eastAsia="华文楷体" w:hAnsi="华文楷体"/>
        </w:rPr>
      </w:pPr>
    </w:p>
    <w:p w14:paraId="539232E2"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实际上，在近几次中央重要会议上，防控金融风险屡屡被提及。中央经济工作会议提出，打好防范化解重大</w:t>
      </w:r>
      <w:r>
        <w:rPr>
          <w:rFonts w:ascii="华文楷体" w:eastAsia="华文楷体" w:hAnsi="华文楷体" w:hint="eastAsia"/>
        </w:rPr>
        <w:t>风险攻坚战，重点是防控金融风险，要服务于供给侧结构性改革这条主线，促进形成金融和实体经济、金融和房地产、金融体系内部的良性循环，做好重点领域风险防范和处置，坚决打击违法违规金融活动，加强薄弱环节监管制度建设。</w:t>
      </w:r>
    </w:p>
    <w:p w14:paraId="2AB6D940" w14:textId="77777777" w:rsidR="00ED5EBF" w:rsidRDefault="00ED5EBF">
      <w:pPr>
        <w:spacing w:line="360" w:lineRule="auto"/>
        <w:ind w:right="357" w:firstLineChars="200" w:firstLine="480"/>
        <w:rPr>
          <w:rFonts w:ascii="华文楷体" w:eastAsia="华文楷体" w:hAnsi="华文楷体"/>
        </w:rPr>
      </w:pPr>
    </w:p>
    <w:p w14:paraId="43B93B39"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2018</w:t>
      </w:r>
      <w:r>
        <w:rPr>
          <w:rFonts w:ascii="华文楷体" w:eastAsia="华文楷体" w:hAnsi="华文楷体" w:hint="eastAsia"/>
        </w:rPr>
        <w:t>年政府工作报告则进一步提出，当前我国经济金融风险总体可控，要标本兼治，有效消除风险隐患。严厉打击非法集资、金融诈骗等违法活动。加快市场化法治化债转股和企业兼并重组。加强金融机构风险内控。强化金融监管统筹协调，健全对影子银行、互联网金融、金融控股公司等监管，进一步完善金融监管。防范化解地方政府债务风险。严禁各类违法违规举债、担保等行为。</w:t>
      </w:r>
    </w:p>
    <w:p w14:paraId="3421E4C8" w14:textId="77777777" w:rsidR="00ED5EBF" w:rsidRDefault="00ED5EBF">
      <w:pPr>
        <w:spacing w:line="360" w:lineRule="auto"/>
        <w:ind w:right="357" w:firstLineChars="200" w:firstLine="480"/>
        <w:rPr>
          <w:rFonts w:ascii="华文楷体" w:eastAsia="华文楷体" w:hAnsi="华文楷体"/>
        </w:rPr>
      </w:pPr>
    </w:p>
    <w:p w14:paraId="135295CA"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强化监管协调成共识</w:t>
      </w:r>
    </w:p>
    <w:p w14:paraId="624924A5" w14:textId="77777777" w:rsidR="00ED5EBF" w:rsidRDefault="00ED5EBF">
      <w:pPr>
        <w:spacing w:line="360" w:lineRule="auto"/>
        <w:ind w:right="357" w:firstLineChars="200" w:firstLine="480"/>
        <w:rPr>
          <w:rFonts w:ascii="华文楷体" w:eastAsia="华文楷体" w:hAnsi="华文楷体"/>
        </w:rPr>
      </w:pPr>
    </w:p>
    <w:p w14:paraId="2B0FCBF9"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作为三大攻坚战之一，防范化解金融风险在今年两会上受到代表委员们的普遍关注。其中，如何进行有效监管协调成了关注的焦点。</w:t>
      </w:r>
    </w:p>
    <w:p w14:paraId="1810D6DE" w14:textId="77777777" w:rsidR="00ED5EBF" w:rsidRDefault="00ED5EBF">
      <w:pPr>
        <w:spacing w:line="360" w:lineRule="auto"/>
        <w:ind w:right="357" w:firstLineChars="200" w:firstLine="480"/>
        <w:rPr>
          <w:rFonts w:ascii="华文楷体" w:eastAsia="华文楷体" w:hAnsi="华文楷体"/>
        </w:rPr>
      </w:pPr>
    </w:p>
    <w:p w14:paraId="590FBA18"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全国人大代表、人民银行</w:t>
      </w:r>
      <w:r>
        <w:rPr>
          <w:rFonts w:ascii="华文楷体" w:eastAsia="华文楷体" w:hAnsi="华文楷体" w:hint="eastAsia"/>
        </w:rPr>
        <w:t>武汉分行党委书记、行长王玉玲表示，总体看，我国金融风险可控，但当前和今后一个时期我国金融领域尚处在风险易发高发期。在金融风险隐患的背后，是实体经济结构性失衡和逆周期调控能力、金融企业治理和金融业对外开放程度不足以及监管体制机制存在短板。</w:t>
      </w:r>
    </w:p>
    <w:p w14:paraId="4B631471" w14:textId="77777777" w:rsidR="00ED5EBF" w:rsidRDefault="00ED5EBF">
      <w:pPr>
        <w:spacing w:line="360" w:lineRule="auto"/>
        <w:ind w:right="357" w:firstLineChars="200" w:firstLine="480"/>
        <w:rPr>
          <w:rFonts w:ascii="华文楷体" w:eastAsia="华文楷体" w:hAnsi="华文楷体"/>
        </w:rPr>
      </w:pPr>
    </w:p>
    <w:p w14:paraId="33141835"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加强金融监管协调已经成为了共识。全国政协委员、瑞华会计师事务所管理合伙人张连起表示，当前，中国金融市场中部分交叉性金融产品跨市场，风险隐藏于各个环节，这就要求金融稳定委员会协调各个金融监管部门，充分做好政策协同，在各部门出台监管措施时，协调好力度和时机，防止短期监管压力叠</w:t>
      </w:r>
      <w:r>
        <w:rPr>
          <w:rFonts w:ascii="华文楷体" w:eastAsia="华文楷体" w:hAnsi="华文楷体" w:hint="eastAsia"/>
        </w:rPr>
        <w:t>加过大，因处置风险而发生风险。</w:t>
      </w:r>
    </w:p>
    <w:p w14:paraId="24F164F9" w14:textId="77777777" w:rsidR="00ED5EBF" w:rsidRDefault="00ED5EBF">
      <w:pPr>
        <w:spacing w:line="360" w:lineRule="auto"/>
        <w:ind w:right="357" w:firstLineChars="200" w:firstLine="480"/>
        <w:rPr>
          <w:rFonts w:ascii="华文楷体" w:eastAsia="华文楷体" w:hAnsi="华文楷体"/>
        </w:rPr>
      </w:pPr>
    </w:p>
    <w:p w14:paraId="5BBB7561"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民进中央在今年两会提案中建议，要改革监管治理机制，完善统筹监管机制，避免监管权力博弈带来的系统性风险。同时，在加强监管时，要避免引发导致流动性匮乏的系统性风险。监管决策者必须考虑监管政策对整个金融系统的影响，而不仅仅局限于对个别金融机构的影响。我国过去几年的创新业务模式或为绕过监管、或为创造流动性、或为风险分层等，在加强监管时不能一概而论，更不能为了管理逃避监管型业务，而引发流动性系统性风险。</w:t>
      </w:r>
    </w:p>
    <w:p w14:paraId="4192EAAC" w14:textId="77777777" w:rsidR="00ED5EBF" w:rsidRDefault="00ED5EBF">
      <w:pPr>
        <w:spacing w:line="360" w:lineRule="auto"/>
        <w:ind w:right="357" w:firstLineChars="200" w:firstLine="480"/>
        <w:rPr>
          <w:rFonts w:ascii="华文楷体" w:eastAsia="华文楷体" w:hAnsi="华文楷体"/>
        </w:rPr>
      </w:pPr>
    </w:p>
    <w:p w14:paraId="3C41998F"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全国工商联在提案中建议，加快形成新的监管框架，补足监管短板。充分发挥国家金融稳</w:t>
      </w:r>
      <w:r>
        <w:rPr>
          <w:rFonts w:ascii="华文楷体" w:eastAsia="华文楷体" w:hAnsi="华文楷体" w:hint="eastAsia"/>
        </w:rPr>
        <w:t>定委员会的作用，健全货币政策和宏观审慎政策“双支柱”调控框架，理顺监管机制，在监管方向、监管政策方面强化统筹，加强监管机构间协同监管，统一监管目标、监管标准、监管步调，加快由机构监管向功能监管、行为监管转变，减少监管“盲区”“真空”以及监管套利行为，补足监管短板。</w:t>
      </w:r>
    </w:p>
    <w:p w14:paraId="3BACCAF5" w14:textId="77777777" w:rsidR="00ED5EBF" w:rsidRDefault="00ED5EBF">
      <w:pPr>
        <w:spacing w:line="360" w:lineRule="auto"/>
        <w:ind w:right="357" w:firstLineChars="200" w:firstLine="480"/>
        <w:rPr>
          <w:rFonts w:ascii="华文楷体" w:eastAsia="华文楷体" w:hAnsi="华文楷体"/>
        </w:rPr>
      </w:pPr>
    </w:p>
    <w:p w14:paraId="6EF2E1D5"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金融业开放稳步推进</w:t>
      </w:r>
    </w:p>
    <w:p w14:paraId="76CE977F" w14:textId="77777777" w:rsidR="00ED5EBF" w:rsidRDefault="00ED5EBF">
      <w:pPr>
        <w:spacing w:line="360" w:lineRule="auto"/>
        <w:ind w:right="357" w:firstLineChars="200" w:firstLine="480"/>
        <w:rPr>
          <w:rFonts w:ascii="华文楷体" w:eastAsia="华文楷体" w:hAnsi="华文楷体"/>
        </w:rPr>
      </w:pPr>
    </w:p>
    <w:p w14:paraId="6E96CB5C"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打好防范化解重大风险攻坚战，并不意味着金融业的改革和开放就此停滞不前。周小川强调，防风险和改革不是对立的。金融行业，特别是银行这一类机构本身就是管理风险的行业，防风险是行业发展以及为实体经济服务的重要基础。防风险、防危机历</w:t>
      </w:r>
      <w:r>
        <w:rPr>
          <w:rFonts w:ascii="华文楷体" w:eastAsia="华文楷体" w:hAnsi="华文楷体" w:hint="eastAsia"/>
        </w:rPr>
        <w:t>来是金融改革的重要组成部分。</w:t>
      </w:r>
    </w:p>
    <w:p w14:paraId="2A047BBD" w14:textId="77777777" w:rsidR="00ED5EBF" w:rsidRDefault="00ED5EBF">
      <w:pPr>
        <w:spacing w:line="360" w:lineRule="auto"/>
        <w:ind w:right="357" w:firstLineChars="200" w:firstLine="480"/>
        <w:rPr>
          <w:rFonts w:ascii="华文楷体" w:eastAsia="华文楷体" w:hAnsi="华文楷体"/>
        </w:rPr>
      </w:pPr>
    </w:p>
    <w:p w14:paraId="090BCA1F"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我们进入新的阶段后，确实在市场准入方面对外开放可以胆子大一些，开放的程度更高一些。”周小川表示，在过去五年里，中国有“沪港通”“深港通”“债券通”，预计这种开放趋势还会继续加强。多数该研究的政策都已经研究过了，逐步寻找时机稳步向前推进。</w:t>
      </w:r>
    </w:p>
    <w:p w14:paraId="2455AD2D" w14:textId="77777777" w:rsidR="00ED5EBF" w:rsidRDefault="00ED5EBF">
      <w:pPr>
        <w:spacing w:line="360" w:lineRule="auto"/>
        <w:ind w:right="357" w:firstLineChars="200" w:firstLine="480"/>
        <w:rPr>
          <w:rFonts w:ascii="华文楷体" w:eastAsia="华文楷体" w:hAnsi="华文楷体"/>
        </w:rPr>
      </w:pPr>
    </w:p>
    <w:p w14:paraId="05E16DBE"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他表示，从央行角度来看，一是在资本市场和全球主要资本市场的连通方面，可能还有进一步可以做的事情。整个金融市场其他方面的连通也会有所增强。另外，中国正在稳步地、渐进地推进资本项目的可兑换，可兑换以后，存在的一些个别方面的限制也会逐步有序放开</w:t>
      </w:r>
      <w:r>
        <w:rPr>
          <w:rFonts w:ascii="华文楷体" w:eastAsia="华文楷体" w:hAnsi="华文楷体" w:hint="eastAsia"/>
        </w:rPr>
        <w:t>，人民币国际化将进一步向前迈进。</w:t>
      </w:r>
    </w:p>
    <w:p w14:paraId="343BD60F" w14:textId="77777777" w:rsidR="00ED5EBF" w:rsidRDefault="00ED5EBF">
      <w:pPr>
        <w:spacing w:line="360" w:lineRule="auto"/>
        <w:ind w:right="357" w:firstLineChars="200" w:firstLine="480"/>
        <w:rPr>
          <w:rFonts w:ascii="华文楷体" w:eastAsia="华文楷体" w:hAnsi="华文楷体"/>
        </w:rPr>
      </w:pPr>
    </w:p>
    <w:p w14:paraId="768FD496"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中国人民银行副行长易纲也表示，党中央、国务院高度重视金融业对外开放相关工作。人民银行和金融业要落实党中央、国务院对于金融开放的部署。他表示，资本项目可兑换正在稳步推进。在资本项目下，直接投资以及金融市场的开放都会进一步稳步推进，同时也会有一些“放管服”的改革。他表示，不管是股市还是债市还是其他市场，将来也都要双向开放，使得中国的居民和全世界的投资者在中国市场上更加的便利，配置资源的效率更高。</w:t>
      </w:r>
    </w:p>
    <w:p w14:paraId="06DB8837" w14:textId="77777777" w:rsidR="00ED5EBF" w:rsidRDefault="00ED5EBF">
      <w:pPr>
        <w:spacing w:line="360" w:lineRule="auto"/>
        <w:ind w:right="357" w:firstLineChars="200" w:firstLine="480"/>
        <w:rPr>
          <w:rFonts w:ascii="华文楷体" w:eastAsia="华文楷体" w:hAnsi="华文楷体"/>
        </w:rPr>
      </w:pPr>
    </w:p>
    <w:p w14:paraId="2F055410" w14:textId="77777777" w:rsidR="00ED5EBF" w:rsidRDefault="002034C8">
      <w:pPr>
        <w:spacing w:line="360" w:lineRule="auto"/>
        <w:ind w:right="357" w:firstLineChars="200" w:firstLine="480"/>
        <w:rPr>
          <w:rFonts w:ascii="华文楷体" w:eastAsia="华文楷体" w:hAnsi="华文楷体"/>
        </w:rPr>
      </w:pPr>
      <w:r>
        <w:rPr>
          <w:rFonts w:ascii="华文楷体" w:eastAsia="华文楷体" w:hAnsi="华文楷体" w:hint="eastAsia"/>
        </w:rPr>
        <w:t>我国证券行业对外开放再度迈出新步伐。</w:t>
      </w:r>
      <w:r>
        <w:rPr>
          <w:rFonts w:ascii="华文楷体" w:eastAsia="华文楷体" w:hAnsi="华文楷体" w:hint="eastAsia"/>
        </w:rPr>
        <w:t>3</w:t>
      </w:r>
      <w:r>
        <w:rPr>
          <w:rFonts w:ascii="华文楷体" w:eastAsia="华文楷体" w:hAnsi="华文楷体" w:hint="eastAsia"/>
        </w:rPr>
        <w:t>月</w:t>
      </w:r>
      <w:r>
        <w:rPr>
          <w:rFonts w:ascii="华文楷体" w:eastAsia="华文楷体" w:hAnsi="华文楷体" w:hint="eastAsia"/>
        </w:rPr>
        <w:t>9</w:t>
      </w:r>
      <w:r>
        <w:rPr>
          <w:rFonts w:ascii="华文楷体" w:eastAsia="华文楷体" w:hAnsi="华文楷体" w:hint="eastAsia"/>
        </w:rPr>
        <w:t>日，证监会宣布就修订《外商投资证券公</w:t>
      </w:r>
      <w:r>
        <w:rPr>
          <w:rFonts w:ascii="华文楷体" w:eastAsia="华文楷体" w:hAnsi="华文楷体" w:hint="eastAsia"/>
        </w:rPr>
        <w:t>司管理办法》公开征求意见。此次修订内容主要包括允许外资控股合资证券公司、放宽单个境外投资者持有单个上市券商的比例限制、逐步放开合资证券公司业务范围等。</w:t>
      </w:r>
    </w:p>
    <w:p w14:paraId="7A76B87C" w14:textId="77777777" w:rsidR="00ED5EBF" w:rsidRDefault="00ED5EBF">
      <w:pPr>
        <w:spacing w:line="360" w:lineRule="auto"/>
        <w:ind w:right="357" w:firstLineChars="200" w:firstLine="480"/>
        <w:rPr>
          <w:rFonts w:ascii="华文楷体" w:eastAsia="华文楷体" w:hAnsi="华文楷体"/>
        </w:rPr>
      </w:pPr>
    </w:p>
    <w:p w14:paraId="3790629C" w14:textId="77777777" w:rsidR="00ED5EBF" w:rsidRDefault="00ED5EBF">
      <w:pPr>
        <w:spacing w:line="360" w:lineRule="auto"/>
        <w:ind w:right="357" w:firstLineChars="200" w:firstLine="480"/>
        <w:rPr>
          <w:rFonts w:ascii="华文楷体" w:eastAsia="华文楷体" w:hAnsi="华文楷体"/>
        </w:rPr>
      </w:pPr>
    </w:p>
    <w:p w14:paraId="3923D45D" w14:textId="77777777" w:rsidR="00ED5EBF" w:rsidRDefault="00ED5EBF">
      <w:pPr>
        <w:spacing w:line="360" w:lineRule="auto"/>
        <w:ind w:right="357"/>
        <w:rPr>
          <w:rFonts w:ascii="华文楷体" w:eastAsia="华文楷体" w:hAnsi="华文楷体"/>
        </w:rPr>
      </w:pPr>
    </w:p>
    <w:p w14:paraId="2E96B786" w14:textId="77777777" w:rsidR="00ED5EBF" w:rsidRDefault="002034C8">
      <w:pPr>
        <w:spacing w:line="360" w:lineRule="auto"/>
        <w:ind w:right="357" w:firstLineChars="200" w:firstLine="480"/>
        <w:jc w:val="center"/>
        <w:rPr>
          <w:rFonts w:ascii="华文中宋" w:eastAsia="华文中宋" w:hAnsi="华文中宋" w:cs="华文中宋"/>
          <w:b/>
        </w:rPr>
      </w:pPr>
      <w:bookmarkStart w:id="37" w:name="中国银监会等五部门联手支持商业银行资本工具创新"/>
      <w:r>
        <w:rPr>
          <w:rFonts w:ascii="华文中宋" w:eastAsia="华文中宋" w:hAnsi="华文中宋" w:cs="华文中宋" w:hint="eastAsia"/>
          <w:b/>
        </w:rPr>
        <w:t>中国银监会等五部门联手支持商业银行资本工具创新</w:t>
      </w:r>
    </w:p>
    <w:bookmarkEnd w:id="37"/>
    <w:p w14:paraId="670B4AF2" w14:textId="77777777" w:rsidR="00ED5EBF" w:rsidRDefault="002034C8">
      <w:pPr>
        <w:spacing w:line="360" w:lineRule="auto"/>
        <w:ind w:right="357" w:firstLineChars="200" w:firstLine="480"/>
        <w:jc w:val="center"/>
        <w:rPr>
          <w:rFonts w:ascii="华文楷体" w:eastAsia="华文楷体" w:hAnsi="华文楷体"/>
          <w:szCs w:val="21"/>
        </w:rPr>
      </w:pPr>
      <w:r>
        <w:rPr>
          <w:rFonts w:ascii="华文楷体" w:eastAsia="华文楷体" w:hAnsi="华文楷体" w:hint="eastAsia"/>
          <w:szCs w:val="21"/>
        </w:rPr>
        <w:t>时间：</w:t>
      </w:r>
      <w:r>
        <w:rPr>
          <w:rFonts w:ascii="华文楷体" w:eastAsia="华文楷体" w:hAnsi="华文楷体" w:hint="eastAsia"/>
          <w:szCs w:val="21"/>
        </w:rPr>
        <w:t xml:space="preserve">2018-03-14  </w:t>
      </w:r>
      <w:r>
        <w:rPr>
          <w:rFonts w:ascii="华文楷体" w:eastAsia="华文楷体" w:hAnsi="华文楷体" w:hint="eastAsia"/>
          <w:szCs w:val="21"/>
        </w:rPr>
        <w:t>来源：中国新闻网</w:t>
      </w:r>
    </w:p>
    <w:p w14:paraId="374719C1" w14:textId="77777777" w:rsidR="00ED5EBF" w:rsidRDefault="00ED5EBF">
      <w:pPr>
        <w:spacing w:line="360" w:lineRule="auto"/>
        <w:ind w:right="357" w:firstLineChars="200" w:firstLine="480"/>
        <w:jc w:val="left"/>
        <w:rPr>
          <w:rFonts w:ascii="华文楷体" w:eastAsia="华文楷体" w:hAnsi="华文楷体"/>
        </w:rPr>
      </w:pPr>
    </w:p>
    <w:p w14:paraId="3DB3D3E9"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中国银监会、中国人民银行、证监会、保监会和国家外汇管理局近日联合发布了《关于进一步支持商业银行资本工具创新的意见》。</w:t>
      </w:r>
    </w:p>
    <w:p w14:paraId="36D56078" w14:textId="77777777" w:rsidR="00ED5EBF" w:rsidRDefault="00ED5EBF">
      <w:pPr>
        <w:spacing w:line="360" w:lineRule="auto"/>
        <w:ind w:right="357" w:firstLineChars="200" w:firstLine="480"/>
        <w:jc w:val="left"/>
        <w:rPr>
          <w:rFonts w:ascii="华文楷体" w:eastAsia="华文楷体" w:hAnsi="华文楷体"/>
        </w:rPr>
      </w:pPr>
    </w:p>
    <w:p w14:paraId="32E2B8BB"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官方称，此举是为进一步支持商业银行拓宽资本补充渠道，提升银行体系稳健性，强化银行支持实体经济能力。</w:t>
      </w:r>
    </w:p>
    <w:p w14:paraId="3ED5AF4E" w14:textId="77777777" w:rsidR="00ED5EBF" w:rsidRDefault="00ED5EBF">
      <w:pPr>
        <w:spacing w:line="360" w:lineRule="auto"/>
        <w:ind w:right="357" w:firstLineChars="200" w:firstLine="480"/>
        <w:jc w:val="left"/>
        <w:rPr>
          <w:rFonts w:ascii="华文楷体" w:eastAsia="华文楷体" w:hAnsi="华文楷体"/>
        </w:rPr>
      </w:pPr>
    </w:p>
    <w:p w14:paraId="26B32738"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近年来，中国商业银行资本充足率水平总体保持稳定，但随着官方出台的一系列强监管措施重创银行理财、非标等表外业务，其表外资产回表压力较大，部分银行亟需资本补充。</w:t>
      </w:r>
    </w:p>
    <w:p w14:paraId="41F447B1" w14:textId="77777777" w:rsidR="00ED5EBF" w:rsidRDefault="00ED5EBF">
      <w:pPr>
        <w:spacing w:line="360" w:lineRule="auto"/>
        <w:ind w:right="357" w:firstLineChars="200" w:firstLine="480"/>
        <w:jc w:val="left"/>
        <w:rPr>
          <w:rFonts w:ascii="华文楷体" w:eastAsia="华文楷体" w:hAnsi="华文楷体"/>
        </w:rPr>
      </w:pPr>
    </w:p>
    <w:p w14:paraId="536F1B8E"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在此情况下，监管方也开始探索如何拓宽商业银行资本补充渠道、鼓励工具创新。本次《意见》便明确，相关部门将积极支持商业银行资本工具创新的有益探索，营造有利于商业银行资本工具创新的外部环境，充分调动商业银行资本工具创新的积极性和主动性。</w:t>
      </w:r>
    </w:p>
    <w:p w14:paraId="6880F0A6" w14:textId="77777777" w:rsidR="00ED5EBF" w:rsidRDefault="00ED5EBF">
      <w:pPr>
        <w:spacing w:line="360" w:lineRule="auto"/>
        <w:ind w:right="357" w:firstLineChars="200" w:firstLine="480"/>
        <w:jc w:val="left"/>
        <w:rPr>
          <w:rFonts w:ascii="华文楷体" w:eastAsia="华文楷体" w:hAnsi="华文楷体"/>
        </w:rPr>
      </w:pPr>
    </w:p>
    <w:p w14:paraId="359CF6E2"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具体而言，官方将充分发挥境内外金融市场的互补优势，有效运用境内外市场资源，支持商业银行通过多种渠道发行资本工具，通过多</w:t>
      </w:r>
      <w:r>
        <w:rPr>
          <w:rFonts w:ascii="华文楷体" w:eastAsia="华文楷体" w:hAnsi="华文楷体" w:hint="eastAsia"/>
        </w:rPr>
        <w:t>种渠道稳步扩大资本工具的发行规模；同时积极研究增加资本工具种类，总结经验并研究完善配套规则，为银行发行无固定期限资本债券、转股型二级资本债券、含定期转股条款资本债券和总损失吸收能力债务工具等资本工具创造有利条件。</w:t>
      </w:r>
    </w:p>
    <w:p w14:paraId="61B80920" w14:textId="77777777" w:rsidR="00ED5EBF" w:rsidRDefault="00ED5EBF">
      <w:pPr>
        <w:spacing w:line="360" w:lineRule="auto"/>
        <w:ind w:right="357" w:firstLineChars="200" w:firstLine="480"/>
        <w:jc w:val="left"/>
        <w:rPr>
          <w:rFonts w:ascii="华文楷体" w:eastAsia="华文楷体" w:hAnsi="华文楷体"/>
        </w:rPr>
      </w:pPr>
    </w:p>
    <w:p w14:paraId="6C430656"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此外，在防范风险的前提下，监管方将研究社保基金、保险公司、证券机构、基金公司等机构对商业银行资本工具的投资政策，扩大商业银行资本工具的投资主体，并简化资本工具发行审批程序，优化资本工具发行审批流程，完善储架发行机制。</w:t>
      </w:r>
    </w:p>
    <w:p w14:paraId="6256F8CB" w14:textId="77777777" w:rsidR="00ED5EBF" w:rsidRDefault="00ED5EBF">
      <w:pPr>
        <w:spacing w:line="360" w:lineRule="auto"/>
        <w:ind w:right="357" w:firstLineChars="200" w:firstLine="480"/>
        <w:jc w:val="left"/>
        <w:rPr>
          <w:rFonts w:ascii="华文楷体" w:eastAsia="华文楷体" w:hAnsi="华文楷体"/>
        </w:rPr>
      </w:pPr>
    </w:p>
    <w:p w14:paraId="3D935EC9"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《意见》并向商业银行提出要求称，银行应将资本补充与资本规划相结合，统筹考虑资</w:t>
      </w:r>
      <w:r>
        <w:rPr>
          <w:rFonts w:ascii="华文楷体" w:eastAsia="华文楷体" w:hAnsi="华文楷体" w:hint="eastAsia"/>
        </w:rPr>
        <w:t>产增长、结构调整、内部资本留存、外部环境等因素，科学合理设定资本补充计划。</w:t>
      </w:r>
    </w:p>
    <w:p w14:paraId="59A81318" w14:textId="77777777" w:rsidR="00ED5EBF" w:rsidRDefault="00ED5EBF">
      <w:pPr>
        <w:spacing w:line="360" w:lineRule="auto"/>
        <w:ind w:right="357" w:firstLineChars="200" w:firstLine="480"/>
        <w:jc w:val="left"/>
        <w:rPr>
          <w:rFonts w:ascii="华文楷体" w:eastAsia="华文楷体" w:hAnsi="华文楷体"/>
        </w:rPr>
      </w:pPr>
    </w:p>
    <w:p w14:paraId="1FF163E6" w14:textId="77777777" w:rsidR="00ED5EBF" w:rsidRDefault="00ED5EBF">
      <w:pPr>
        <w:spacing w:line="360" w:lineRule="auto"/>
        <w:ind w:right="357" w:firstLineChars="200" w:firstLine="480"/>
        <w:jc w:val="left"/>
        <w:rPr>
          <w:rFonts w:ascii="华文楷体" w:eastAsia="华文楷体" w:hAnsi="华文楷体"/>
        </w:rPr>
      </w:pPr>
    </w:p>
    <w:p w14:paraId="0A9242C7" w14:textId="77777777" w:rsidR="00ED5EBF" w:rsidRDefault="00ED5EBF">
      <w:pPr>
        <w:spacing w:line="360" w:lineRule="auto"/>
        <w:ind w:right="357" w:firstLineChars="200" w:firstLine="480"/>
        <w:jc w:val="left"/>
        <w:rPr>
          <w:rFonts w:ascii="华文楷体" w:eastAsia="华文楷体" w:hAnsi="华文楷体"/>
        </w:rPr>
      </w:pPr>
    </w:p>
    <w:p w14:paraId="28188611" w14:textId="77777777" w:rsidR="00ED5EBF" w:rsidRDefault="00ED5EBF">
      <w:pPr>
        <w:spacing w:line="360" w:lineRule="auto"/>
        <w:ind w:right="357" w:firstLineChars="200" w:firstLine="480"/>
        <w:jc w:val="left"/>
        <w:rPr>
          <w:rFonts w:ascii="华文楷体" w:eastAsia="华文楷体" w:hAnsi="华文楷体"/>
        </w:rPr>
      </w:pPr>
    </w:p>
    <w:p w14:paraId="4FDBEF60" w14:textId="77777777" w:rsidR="00ED5EBF" w:rsidRDefault="00ED5EBF">
      <w:pPr>
        <w:spacing w:line="360" w:lineRule="auto"/>
        <w:ind w:right="357" w:firstLineChars="200" w:firstLine="480"/>
        <w:jc w:val="left"/>
        <w:rPr>
          <w:rFonts w:ascii="华文楷体" w:eastAsia="华文楷体" w:hAnsi="华文楷体"/>
        </w:rPr>
      </w:pPr>
    </w:p>
    <w:p w14:paraId="437B0E5E" w14:textId="77777777" w:rsidR="00ED5EBF" w:rsidRDefault="00ED5EBF">
      <w:pPr>
        <w:spacing w:line="360" w:lineRule="auto"/>
        <w:ind w:right="357" w:firstLineChars="200" w:firstLine="480"/>
        <w:jc w:val="left"/>
        <w:rPr>
          <w:rFonts w:ascii="华文楷体" w:eastAsia="华文楷体" w:hAnsi="华文楷体"/>
        </w:rPr>
      </w:pPr>
    </w:p>
    <w:p w14:paraId="62E2F37A" w14:textId="77777777" w:rsidR="00ED5EBF" w:rsidRDefault="00ED5EBF">
      <w:pPr>
        <w:spacing w:line="360" w:lineRule="auto"/>
        <w:ind w:right="357" w:firstLineChars="200" w:firstLine="480"/>
        <w:jc w:val="left"/>
        <w:rPr>
          <w:rFonts w:ascii="华文楷体" w:eastAsia="华文楷体" w:hAnsi="华文楷体"/>
        </w:rPr>
      </w:pPr>
    </w:p>
    <w:p w14:paraId="37A38C87" w14:textId="77777777" w:rsidR="00ED5EBF" w:rsidRDefault="00ED5EBF">
      <w:pPr>
        <w:spacing w:line="360" w:lineRule="auto"/>
        <w:ind w:right="357" w:firstLineChars="200" w:firstLine="480"/>
        <w:jc w:val="left"/>
        <w:rPr>
          <w:rFonts w:ascii="华文楷体" w:eastAsia="华文楷体" w:hAnsi="华文楷体"/>
        </w:rPr>
      </w:pPr>
    </w:p>
    <w:p w14:paraId="1852DE87" w14:textId="77777777" w:rsidR="00ED5EBF" w:rsidRDefault="00ED5EBF">
      <w:pPr>
        <w:spacing w:line="360" w:lineRule="auto"/>
        <w:ind w:right="357" w:firstLineChars="200" w:firstLine="480"/>
        <w:jc w:val="left"/>
        <w:rPr>
          <w:rFonts w:ascii="华文楷体" w:eastAsia="华文楷体" w:hAnsi="华文楷体"/>
        </w:rPr>
      </w:pPr>
    </w:p>
    <w:p w14:paraId="3E2F9F75" w14:textId="77777777" w:rsidR="00ED5EBF" w:rsidRDefault="00ED5EBF">
      <w:pPr>
        <w:spacing w:line="360" w:lineRule="auto"/>
        <w:ind w:right="357" w:firstLineChars="200" w:firstLine="480"/>
        <w:jc w:val="left"/>
        <w:rPr>
          <w:rFonts w:ascii="华文楷体" w:eastAsia="华文楷体" w:hAnsi="华文楷体"/>
        </w:rPr>
      </w:pPr>
    </w:p>
    <w:p w14:paraId="4405311B" w14:textId="77777777" w:rsidR="00ED5EBF" w:rsidRDefault="00ED5EBF">
      <w:pPr>
        <w:spacing w:line="360" w:lineRule="auto"/>
        <w:ind w:right="357" w:firstLineChars="200" w:firstLine="480"/>
        <w:jc w:val="left"/>
        <w:rPr>
          <w:rFonts w:ascii="华文楷体" w:eastAsia="华文楷体" w:hAnsi="华文楷体"/>
        </w:rPr>
      </w:pPr>
    </w:p>
    <w:p w14:paraId="1639BE57" w14:textId="77777777" w:rsidR="00ED5EBF" w:rsidRDefault="002034C8">
      <w:pPr>
        <w:spacing w:line="360" w:lineRule="auto"/>
        <w:ind w:right="357" w:firstLineChars="200" w:firstLine="480"/>
        <w:jc w:val="center"/>
        <w:rPr>
          <w:rFonts w:ascii="华文中宋" w:eastAsia="华文中宋" w:hAnsi="华文中宋" w:cs="华文中宋"/>
          <w:b/>
        </w:rPr>
      </w:pPr>
      <w:bookmarkStart w:id="38" w:name="国务院机构改革：组建中国银行保险监督管理委员会"/>
      <w:r>
        <w:rPr>
          <w:rFonts w:ascii="华文中宋" w:eastAsia="华文中宋" w:hAnsi="华文中宋" w:cs="华文中宋" w:hint="eastAsia"/>
          <w:b/>
        </w:rPr>
        <w:t>国务院机构改革：组建中国银行保险监督管理委员会</w:t>
      </w:r>
    </w:p>
    <w:bookmarkEnd w:id="38"/>
    <w:p w14:paraId="4047C7CD" w14:textId="77777777" w:rsidR="00ED5EBF" w:rsidRDefault="002034C8">
      <w:pPr>
        <w:spacing w:line="360" w:lineRule="auto"/>
        <w:ind w:right="357" w:firstLineChars="200" w:firstLine="480"/>
        <w:jc w:val="center"/>
        <w:rPr>
          <w:rFonts w:ascii="华文楷体" w:eastAsia="华文楷体" w:hAnsi="华文楷体"/>
          <w:szCs w:val="21"/>
        </w:rPr>
      </w:pPr>
      <w:r>
        <w:rPr>
          <w:rFonts w:ascii="华文楷体" w:eastAsia="华文楷体" w:hAnsi="华文楷体" w:hint="eastAsia"/>
          <w:szCs w:val="21"/>
        </w:rPr>
        <w:t>时间：</w:t>
      </w:r>
      <w:r>
        <w:rPr>
          <w:rFonts w:ascii="华文楷体" w:eastAsia="华文楷体" w:hAnsi="华文楷体" w:hint="eastAsia"/>
          <w:szCs w:val="21"/>
        </w:rPr>
        <w:t xml:space="preserve">2018-03-14    </w:t>
      </w:r>
      <w:r>
        <w:rPr>
          <w:rFonts w:ascii="华文楷体" w:eastAsia="华文楷体" w:hAnsi="华文楷体" w:hint="eastAsia"/>
          <w:szCs w:val="21"/>
        </w:rPr>
        <w:t>来源：金融时报</w:t>
      </w:r>
    </w:p>
    <w:p w14:paraId="1CC8E628" w14:textId="77777777" w:rsidR="00ED5EBF" w:rsidRDefault="00ED5EBF">
      <w:pPr>
        <w:spacing w:line="360" w:lineRule="auto"/>
        <w:ind w:right="357" w:firstLineChars="200" w:firstLine="480"/>
        <w:jc w:val="left"/>
        <w:rPr>
          <w:rFonts w:ascii="华文楷体" w:eastAsia="华文楷体" w:hAnsi="华文楷体"/>
        </w:rPr>
      </w:pPr>
    </w:p>
    <w:p w14:paraId="62324879"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3</w:t>
      </w:r>
      <w:r>
        <w:rPr>
          <w:rFonts w:ascii="华文楷体" w:eastAsia="华文楷体" w:hAnsi="华文楷体" w:hint="eastAsia"/>
        </w:rPr>
        <w:t>月</w:t>
      </w:r>
      <w:r>
        <w:rPr>
          <w:rFonts w:ascii="华文楷体" w:eastAsia="华文楷体" w:hAnsi="华文楷体" w:hint="eastAsia"/>
        </w:rPr>
        <w:t>13</w:t>
      </w:r>
      <w:r>
        <w:rPr>
          <w:rFonts w:ascii="华文楷体" w:eastAsia="华文楷体" w:hAnsi="华文楷体" w:hint="eastAsia"/>
        </w:rPr>
        <w:t>日提请十三届全国人大一次会议审议的国务院机构改革方案（以下简称“方案”）提出，将中国银行业监督管理委员会和中国保险监督管理委员会的职责整合，组建中国银行保险监督管理委员会，作为国务院直属事业单位。其主要职责是，依照法律法规统一监督管理银行业和保险业，维护银行业和保险业合法、稳健运行，防范和化解金融风险，保护金融消费者合法权益，维护金融稳定。</w:t>
      </w:r>
    </w:p>
    <w:p w14:paraId="3E132FC9" w14:textId="77777777" w:rsidR="00ED5EBF" w:rsidRDefault="00ED5EBF">
      <w:pPr>
        <w:spacing w:line="360" w:lineRule="auto"/>
        <w:ind w:right="357" w:firstLineChars="200" w:firstLine="480"/>
        <w:jc w:val="left"/>
        <w:rPr>
          <w:rFonts w:ascii="华文楷体" w:eastAsia="华文楷体" w:hAnsi="华文楷体"/>
        </w:rPr>
      </w:pPr>
    </w:p>
    <w:p w14:paraId="011D0618"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另外，方案提到，“将中国银行业监督管理委员会和中国保险监督管理委员会拟定银行业、保险业重要法律法规草案和审慎监管基本制度的职责划入中国人民银行。不再保留中国银</w:t>
      </w:r>
      <w:r>
        <w:rPr>
          <w:rFonts w:ascii="华文楷体" w:eastAsia="华文楷体" w:hAnsi="华文楷体" w:hint="eastAsia"/>
        </w:rPr>
        <w:t>行业监督管理委员会、中国保险监督管理委员会。”</w:t>
      </w:r>
    </w:p>
    <w:p w14:paraId="517F728D" w14:textId="77777777" w:rsidR="00ED5EBF" w:rsidRDefault="00ED5EBF">
      <w:pPr>
        <w:spacing w:line="360" w:lineRule="auto"/>
        <w:ind w:right="357" w:firstLineChars="200" w:firstLine="480"/>
        <w:jc w:val="left"/>
        <w:rPr>
          <w:rFonts w:ascii="华文楷体" w:eastAsia="华文楷体" w:hAnsi="华文楷体"/>
        </w:rPr>
      </w:pPr>
    </w:p>
    <w:p w14:paraId="215A6F08"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13</w:t>
      </w:r>
      <w:r>
        <w:rPr>
          <w:rFonts w:ascii="华文楷体" w:eastAsia="华文楷体" w:hAnsi="华文楷体" w:hint="eastAsia"/>
        </w:rPr>
        <w:t>日上午，列席十三届全国人大一次会议第四次全会的中国保监会副主席陈文辉对媒体记者表示，会按照统一要求进行调整。</w:t>
      </w:r>
    </w:p>
    <w:p w14:paraId="256242C0" w14:textId="77777777" w:rsidR="00ED5EBF" w:rsidRDefault="00ED5EBF">
      <w:pPr>
        <w:spacing w:line="360" w:lineRule="auto"/>
        <w:ind w:right="357" w:firstLineChars="200" w:firstLine="480"/>
        <w:jc w:val="left"/>
        <w:rPr>
          <w:rFonts w:ascii="华文楷体" w:eastAsia="华文楷体" w:hAnsi="华文楷体"/>
        </w:rPr>
      </w:pPr>
    </w:p>
    <w:p w14:paraId="45A7861C"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压缩数量，整合职能，降低成本，提高效率，是放管服改革的深化和体制保障。”全国人大代表、中国人民银行西安分行行长白鹤祥对《金融时报》记者表示，银保监管合并是新时代金融监管体制改革的新起点。对整合监管资源、统一监管标准、协调监管步调、降低监管成本、提高监管效率、填补监管空白、有效防范系统性风险、推动中国金融业持续健康发展，必将产生深远影响。</w:t>
      </w:r>
    </w:p>
    <w:p w14:paraId="46D0A927" w14:textId="77777777" w:rsidR="00ED5EBF" w:rsidRDefault="00ED5EBF">
      <w:pPr>
        <w:spacing w:line="360" w:lineRule="auto"/>
        <w:ind w:right="357" w:firstLineChars="200" w:firstLine="480"/>
        <w:jc w:val="left"/>
        <w:rPr>
          <w:rFonts w:ascii="华文楷体" w:eastAsia="华文楷体" w:hAnsi="华文楷体"/>
        </w:rPr>
      </w:pPr>
    </w:p>
    <w:p w14:paraId="4DF613DC"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一</w:t>
      </w:r>
      <w:r>
        <w:rPr>
          <w:rFonts w:ascii="华文楷体" w:eastAsia="华文楷体" w:hAnsi="华文楷体" w:hint="eastAsia"/>
        </w:rPr>
        <w:t>位分析人士对记者表示，银保监管合并是金融监管体制改革的一个重要尝试。国际金融危机前后，全球金融监管模式逐渐向综合监管和“双峰”监管靠拢，传统的分业监管不能适应金融体系的复杂性。</w:t>
      </w:r>
    </w:p>
    <w:p w14:paraId="7464BED4" w14:textId="77777777" w:rsidR="00ED5EBF" w:rsidRDefault="00ED5EBF">
      <w:pPr>
        <w:spacing w:line="360" w:lineRule="auto"/>
        <w:ind w:right="357" w:firstLineChars="200" w:firstLine="480"/>
        <w:jc w:val="left"/>
        <w:rPr>
          <w:rFonts w:ascii="华文楷体" w:eastAsia="华文楷体" w:hAnsi="华文楷体"/>
        </w:rPr>
      </w:pPr>
    </w:p>
    <w:p w14:paraId="57F9B809"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此前，英国“双峰”监管模式引发市场关注。不过，中国人民银行行长周小川</w:t>
      </w:r>
      <w:r>
        <w:rPr>
          <w:rFonts w:ascii="华文楷体" w:eastAsia="华文楷体" w:hAnsi="华文楷体" w:hint="eastAsia"/>
        </w:rPr>
        <w:t>3</w:t>
      </w:r>
      <w:r>
        <w:rPr>
          <w:rFonts w:ascii="华文楷体" w:eastAsia="华文楷体" w:hAnsi="华文楷体" w:hint="eastAsia"/>
        </w:rPr>
        <w:t>月</w:t>
      </w:r>
      <w:r>
        <w:rPr>
          <w:rFonts w:ascii="华文楷体" w:eastAsia="华文楷体" w:hAnsi="华文楷体" w:hint="eastAsia"/>
        </w:rPr>
        <w:t>9</w:t>
      </w:r>
      <w:r>
        <w:rPr>
          <w:rFonts w:ascii="华文楷体" w:eastAsia="华文楷体" w:hAnsi="华文楷体" w:hint="eastAsia"/>
        </w:rPr>
        <w:t>日在十三届全国人大一次会议记者会上回答中外记者提问时表示，金融监管改革还是主要依据中国国情，也参考了国际上各种不同的金融监管机构的设置，参考的过程中也研究了所谓“双峰”监管的体制。“但是，我们目前觉得还是要观察一段时间，不是说我们就要采用‘双峰’监管的尺度。</w:t>
      </w:r>
      <w:r>
        <w:rPr>
          <w:rFonts w:ascii="华文楷体" w:eastAsia="华文楷体" w:hAnsi="华文楷体" w:hint="eastAsia"/>
        </w:rPr>
        <w:t>”周小川说。</w:t>
      </w:r>
    </w:p>
    <w:p w14:paraId="22161633" w14:textId="77777777" w:rsidR="00ED5EBF" w:rsidRDefault="00ED5EBF">
      <w:pPr>
        <w:spacing w:line="360" w:lineRule="auto"/>
        <w:ind w:right="357" w:firstLineChars="200" w:firstLine="480"/>
        <w:jc w:val="left"/>
        <w:rPr>
          <w:rFonts w:ascii="华文楷体" w:eastAsia="华文楷体" w:hAnsi="华文楷体"/>
        </w:rPr>
      </w:pPr>
    </w:p>
    <w:p w14:paraId="445E6FB4"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对于方案中提到的“将拟定银行业、保险业重要法律法规草案和审慎监管基本制度的职责划入中国人民银行”，白鹤祥表示，这借鉴了国际金融监管体制改革的取向，也符合当前中国的实际。“希望能在此基础上不断完善深化，确保央行双支柱调控框架作用不断强化。”白鹤祥说。</w:t>
      </w:r>
    </w:p>
    <w:p w14:paraId="75F029AC" w14:textId="77777777" w:rsidR="00ED5EBF" w:rsidRDefault="00ED5EBF">
      <w:pPr>
        <w:spacing w:line="360" w:lineRule="auto"/>
        <w:ind w:right="357" w:firstLineChars="200" w:firstLine="480"/>
        <w:jc w:val="left"/>
        <w:rPr>
          <w:rFonts w:ascii="华文楷体" w:eastAsia="华文楷体" w:hAnsi="华文楷体"/>
        </w:rPr>
      </w:pPr>
    </w:p>
    <w:p w14:paraId="197BB129"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上述分析人士称，方案进一步加强了人民银行的审慎监管职能，并从之前对单个金融机构经营稳健考量的角度上升到对整个金融系统稳定性的角度制定监管规则，有利于从宏观角度维护金融体系整体稳定。</w:t>
      </w:r>
    </w:p>
    <w:p w14:paraId="3948272B" w14:textId="77777777" w:rsidR="00ED5EBF" w:rsidRDefault="00ED5EBF">
      <w:pPr>
        <w:spacing w:line="360" w:lineRule="auto"/>
        <w:ind w:right="357" w:firstLineChars="200" w:firstLine="480"/>
        <w:jc w:val="left"/>
        <w:rPr>
          <w:rFonts w:ascii="华文楷体" w:eastAsia="华文楷体" w:hAnsi="华文楷体"/>
        </w:rPr>
      </w:pPr>
    </w:p>
    <w:p w14:paraId="20137C15"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“银保监管合并还需要看进一步的细则。”一位监管人士对记者表示</w:t>
      </w:r>
      <w:r>
        <w:rPr>
          <w:rFonts w:ascii="华文楷体" w:eastAsia="华文楷体" w:hAnsi="华文楷体" w:hint="eastAsia"/>
        </w:rPr>
        <w:t>，目前，从改革方案来看，只能看出机构物理形式上的合并，没有强调职能如何合并、如何拆分。“这可能需要多年时间慢慢磨合。之前银监会从人民银行分设出来，也有一段时间的消化。”该人士表示，银保监管的合并是强化行为监管的一大步，未来需要继续强化。</w:t>
      </w:r>
    </w:p>
    <w:p w14:paraId="268BF4D7" w14:textId="77777777" w:rsidR="00ED5EBF" w:rsidRDefault="00ED5EBF">
      <w:pPr>
        <w:spacing w:line="360" w:lineRule="auto"/>
        <w:ind w:right="357" w:firstLineChars="200" w:firstLine="480"/>
        <w:jc w:val="left"/>
        <w:rPr>
          <w:rFonts w:ascii="华文楷体" w:eastAsia="华文楷体" w:hAnsi="华文楷体"/>
        </w:rPr>
      </w:pPr>
    </w:p>
    <w:p w14:paraId="623CB352"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行为监管是第五次全国金融工作会议强调的一个监管补短板的重要方向，银保监管合并就是在这个思路框架下实现的。”另一位监管人士对记者表示，由于保险公司和银行业穿透问题更多一些，所以，银保监管合并可以作为尝试之举。“此前监管方面空白之处比较多。首先是部门之间的监管空白，随着业务发展，业务已经相通，但监管没有相通，套利行为时有发生；其次，法律法规空白也比较多，</w:t>
      </w:r>
      <w:r>
        <w:rPr>
          <w:rFonts w:ascii="华文楷体" w:eastAsia="华文楷体" w:hAnsi="华文楷体" w:hint="eastAsia"/>
        </w:rPr>
        <w:t>2017</w:t>
      </w:r>
      <w:r>
        <w:rPr>
          <w:rFonts w:ascii="华文楷体" w:eastAsia="华文楷体" w:hAnsi="华文楷体" w:hint="eastAsia"/>
        </w:rPr>
        <w:t>年至今，几个监管部门密集发布多份文件补漏洞，但这些可能是微观层面的‘穿透’。”该监管人士说，现在银保监管合并相当于监管架构上也“穿透”了，更有利于执行</w:t>
      </w:r>
      <w:r>
        <w:rPr>
          <w:rFonts w:ascii="华文楷体" w:eastAsia="华文楷体" w:hAnsi="华文楷体" w:hint="eastAsia"/>
        </w:rPr>
        <w:t>微观监管。</w:t>
      </w:r>
    </w:p>
    <w:p w14:paraId="4DB83B1D" w14:textId="77777777" w:rsidR="00ED5EBF" w:rsidRDefault="00ED5EBF">
      <w:pPr>
        <w:spacing w:line="360" w:lineRule="auto"/>
        <w:ind w:right="357" w:firstLineChars="200" w:firstLine="480"/>
        <w:jc w:val="left"/>
        <w:rPr>
          <w:rFonts w:ascii="华文楷体" w:eastAsia="华文楷体" w:hAnsi="华文楷体"/>
        </w:rPr>
      </w:pPr>
    </w:p>
    <w:p w14:paraId="2FC097B6"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中国人民银行研究局局长徐忠撰文表示，一是坚持金融业综合经营方向，顺应综合经营发展趋势，组建中国银行保险监督管理委员会，集中整合监管资源、充分发挥专业化优势，落实功能监管并加强综合监管，提高监管质量和效率。二是分离发展与监管职能、分离监管规制与执行，将中国银行业监督管理委员会和中国保险监督管理委员会拟订银行业、保险业重要法律法规草案和审慎监管基本制度的职责划入中国人民银行，使监管部门专注于监管执行，提高监管的专业性、有效性。三是强化中央银行宏观审慎管理职能，人民银行落实“三个统筹”，为打好防范化</w:t>
      </w:r>
      <w:r>
        <w:rPr>
          <w:rFonts w:ascii="华文楷体" w:eastAsia="华文楷体" w:hAnsi="华文楷体" w:hint="eastAsia"/>
        </w:rPr>
        <w:t>解重大风险攻坚战奠定重要基础。</w:t>
      </w:r>
    </w:p>
    <w:p w14:paraId="0A88E23C" w14:textId="77777777" w:rsidR="00ED5EBF" w:rsidRDefault="00ED5EBF">
      <w:pPr>
        <w:spacing w:line="360" w:lineRule="auto"/>
        <w:ind w:right="357" w:firstLineChars="200" w:firstLine="480"/>
        <w:jc w:val="left"/>
        <w:rPr>
          <w:rFonts w:ascii="华文楷体" w:eastAsia="华文楷体" w:hAnsi="华文楷体"/>
        </w:rPr>
      </w:pPr>
    </w:p>
    <w:p w14:paraId="405BC55B"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关于国务院机构改革方案的说明指出，金融是现代经济的核心，必须高度重视防控金融风险、保障国家金融安全。为深化金融监管体制改革，解决现行体制存在的监管职责不清晰、交叉监管和监管空白等问题，强化综合监管，优化监管管理配置，更好统筹系统重要性金融机构监管，逐步建立符合现代金融特点、统筹协调监管、有力有效的现代金融监管框架，守住不发生系统性金融风险的底线。</w:t>
      </w:r>
    </w:p>
    <w:p w14:paraId="1BAEF852" w14:textId="77777777" w:rsidR="00ED5EBF" w:rsidRDefault="00ED5EBF">
      <w:pPr>
        <w:spacing w:line="360" w:lineRule="auto"/>
        <w:ind w:right="357" w:firstLineChars="200" w:firstLine="480"/>
        <w:jc w:val="left"/>
        <w:rPr>
          <w:rFonts w:ascii="华文楷体" w:eastAsia="华文楷体" w:hAnsi="华文楷体"/>
        </w:rPr>
      </w:pPr>
    </w:p>
    <w:p w14:paraId="22792779"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此前，党的十九大明确要求深化机构和行政体制改革。党的十九届三中全会审议通过了《深化党和国家机构改革方案》，同意将其中涉及国务院</w:t>
      </w:r>
      <w:r>
        <w:rPr>
          <w:rFonts w:ascii="华文楷体" w:eastAsia="华文楷体" w:hAnsi="华文楷体" w:hint="eastAsia"/>
        </w:rPr>
        <w:t>机构改革的内容提交第十三届全国人民代表大会第一次会议审议。根据人大会议安排，十三届全国人大将于</w:t>
      </w:r>
      <w:r>
        <w:rPr>
          <w:rFonts w:ascii="华文楷体" w:eastAsia="华文楷体" w:hAnsi="华文楷体" w:hint="eastAsia"/>
        </w:rPr>
        <w:t>3</w:t>
      </w:r>
      <w:r>
        <w:rPr>
          <w:rFonts w:ascii="华文楷体" w:eastAsia="华文楷体" w:hAnsi="华文楷体" w:hint="eastAsia"/>
        </w:rPr>
        <w:t>月</w:t>
      </w:r>
      <w:r>
        <w:rPr>
          <w:rFonts w:ascii="华文楷体" w:eastAsia="华文楷体" w:hAnsi="华文楷体" w:hint="eastAsia"/>
        </w:rPr>
        <w:t>17</w:t>
      </w:r>
      <w:r>
        <w:rPr>
          <w:rFonts w:ascii="华文楷体" w:eastAsia="华文楷体" w:hAnsi="华文楷体" w:hint="eastAsia"/>
        </w:rPr>
        <w:t>日上午召开第五次全体会议，表决关于批准国务院机构改革方案的决定草案。</w:t>
      </w:r>
    </w:p>
    <w:p w14:paraId="1CEC23F4" w14:textId="77777777" w:rsidR="00ED5EBF" w:rsidRDefault="00ED5EBF">
      <w:pPr>
        <w:spacing w:line="360" w:lineRule="auto"/>
        <w:ind w:right="357" w:firstLineChars="200" w:firstLine="480"/>
        <w:jc w:val="left"/>
        <w:rPr>
          <w:rFonts w:ascii="华文楷体" w:eastAsia="华文楷体" w:hAnsi="华文楷体"/>
        </w:rPr>
      </w:pPr>
    </w:p>
    <w:p w14:paraId="2A2BF6B2" w14:textId="77777777" w:rsidR="00ED5EBF" w:rsidRDefault="00ED5EBF">
      <w:pPr>
        <w:spacing w:line="360" w:lineRule="auto"/>
        <w:ind w:right="357" w:firstLineChars="200" w:firstLine="480"/>
        <w:jc w:val="left"/>
        <w:rPr>
          <w:rFonts w:ascii="华文楷体" w:eastAsia="华文楷体" w:hAnsi="华文楷体"/>
        </w:rPr>
      </w:pPr>
    </w:p>
    <w:p w14:paraId="73A3E733" w14:textId="77777777" w:rsidR="00ED5EBF" w:rsidRDefault="00ED5EBF">
      <w:pPr>
        <w:spacing w:line="360" w:lineRule="auto"/>
        <w:ind w:right="357" w:firstLineChars="200" w:firstLine="480"/>
        <w:jc w:val="left"/>
        <w:rPr>
          <w:rFonts w:ascii="华文楷体" w:eastAsia="华文楷体" w:hAnsi="华文楷体"/>
        </w:rPr>
      </w:pPr>
    </w:p>
    <w:p w14:paraId="71E975E0" w14:textId="77777777" w:rsidR="00ED5EBF" w:rsidRDefault="00ED5EBF">
      <w:pPr>
        <w:spacing w:line="360" w:lineRule="auto"/>
        <w:ind w:right="357" w:firstLineChars="200" w:firstLine="480"/>
        <w:jc w:val="left"/>
        <w:rPr>
          <w:rFonts w:ascii="华文楷体" w:eastAsia="华文楷体" w:hAnsi="华文楷体"/>
        </w:rPr>
      </w:pPr>
    </w:p>
    <w:p w14:paraId="245C1760" w14:textId="77777777" w:rsidR="00ED5EBF" w:rsidRDefault="00ED5EBF">
      <w:pPr>
        <w:spacing w:line="360" w:lineRule="auto"/>
        <w:ind w:right="357" w:firstLineChars="200" w:firstLine="480"/>
        <w:jc w:val="left"/>
        <w:rPr>
          <w:rFonts w:ascii="华文楷体" w:eastAsia="华文楷体" w:hAnsi="华文楷体"/>
        </w:rPr>
      </w:pPr>
    </w:p>
    <w:p w14:paraId="7BF9813B" w14:textId="77777777" w:rsidR="00ED5EBF" w:rsidRDefault="00ED5EBF">
      <w:pPr>
        <w:spacing w:line="360" w:lineRule="auto"/>
        <w:ind w:right="357" w:firstLineChars="200" w:firstLine="480"/>
        <w:jc w:val="left"/>
        <w:rPr>
          <w:rFonts w:ascii="华文楷体" w:eastAsia="华文楷体" w:hAnsi="华文楷体"/>
        </w:rPr>
      </w:pPr>
    </w:p>
    <w:p w14:paraId="2DDFBFF4" w14:textId="77777777" w:rsidR="00ED5EBF" w:rsidRDefault="00ED5EBF">
      <w:pPr>
        <w:spacing w:line="360" w:lineRule="auto"/>
        <w:ind w:right="357"/>
        <w:jc w:val="left"/>
        <w:rPr>
          <w:rFonts w:ascii="华文楷体" w:eastAsia="华文楷体" w:hAnsi="华文楷体"/>
        </w:rPr>
      </w:pPr>
    </w:p>
    <w:p w14:paraId="7BD3AF81" w14:textId="77777777" w:rsidR="00ED5EBF" w:rsidRDefault="002034C8">
      <w:pPr>
        <w:spacing w:line="360" w:lineRule="auto"/>
        <w:ind w:right="357"/>
        <w:jc w:val="center"/>
        <w:rPr>
          <w:rFonts w:ascii="华文中宋" w:eastAsia="华文中宋" w:hAnsi="华文中宋" w:cs="华文中宋"/>
          <w:b/>
        </w:rPr>
      </w:pPr>
      <w:bookmarkStart w:id="39" w:name="工行北分成功实现科技金融“百千万”精品工程发展目标"/>
      <w:r>
        <w:rPr>
          <w:rFonts w:ascii="华文中宋" w:eastAsia="华文中宋" w:hAnsi="华文中宋" w:cs="华文中宋" w:hint="eastAsia"/>
          <w:b/>
        </w:rPr>
        <w:t>工行北分成功实现科技金融“百千万”精品工程发展目标</w:t>
      </w:r>
      <w:bookmarkEnd w:id="39"/>
    </w:p>
    <w:p w14:paraId="0300ED17" w14:textId="77777777" w:rsidR="00ED5EBF" w:rsidRDefault="002034C8">
      <w:pPr>
        <w:spacing w:line="360" w:lineRule="auto"/>
        <w:ind w:right="357"/>
        <w:jc w:val="center"/>
        <w:rPr>
          <w:rFonts w:ascii="华文楷体" w:eastAsia="华文楷体" w:hAnsi="华文楷体"/>
          <w:szCs w:val="21"/>
        </w:rPr>
      </w:pPr>
      <w:r>
        <w:rPr>
          <w:rFonts w:ascii="华文楷体" w:eastAsia="华文楷体" w:hAnsi="华文楷体" w:hint="eastAsia"/>
          <w:szCs w:val="21"/>
        </w:rPr>
        <w:t>时间：</w:t>
      </w:r>
      <w:r>
        <w:rPr>
          <w:rFonts w:ascii="华文楷体" w:eastAsia="华文楷体" w:hAnsi="华文楷体" w:hint="eastAsia"/>
          <w:szCs w:val="21"/>
        </w:rPr>
        <w:t xml:space="preserve">2018-03-15  </w:t>
      </w:r>
      <w:r>
        <w:rPr>
          <w:rFonts w:ascii="华文楷体" w:eastAsia="华文楷体" w:hAnsi="华文楷体" w:hint="eastAsia"/>
          <w:szCs w:val="21"/>
        </w:rPr>
        <w:t>来源：新京报</w:t>
      </w:r>
    </w:p>
    <w:p w14:paraId="55943D55" w14:textId="77777777" w:rsidR="00ED5EBF" w:rsidRDefault="00ED5EBF">
      <w:pPr>
        <w:spacing w:line="360" w:lineRule="auto"/>
        <w:ind w:right="357"/>
        <w:jc w:val="left"/>
        <w:rPr>
          <w:rFonts w:ascii="华文楷体" w:eastAsia="华文楷体" w:hAnsi="华文楷体"/>
        </w:rPr>
      </w:pPr>
    </w:p>
    <w:p w14:paraId="3301C5A4"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为支持北京“科技创新中心”城市建设，落实“创新驱动发展”国家战略，工行北京分行提出了</w:t>
      </w:r>
      <w:r>
        <w:rPr>
          <w:rFonts w:ascii="华文楷体" w:eastAsia="华文楷体" w:hAnsi="华文楷体" w:hint="eastAsia"/>
        </w:rPr>
        <w:t>2015-2017</w:t>
      </w:r>
      <w:r>
        <w:rPr>
          <w:rFonts w:ascii="华文楷体" w:eastAsia="华文楷体" w:hAnsi="华文楷体" w:hint="eastAsia"/>
        </w:rPr>
        <w:t>年打造科技金融“百千万”精品工程的发展目标，即力争科技型企业贷款额每年增加</w:t>
      </w:r>
      <w:r>
        <w:rPr>
          <w:rFonts w:ascii="华文楷体" w:eastAsia="华文楷体" w:hAnsi="华文楷体" w:hint="eastAsia"/>
        </w:rPr>
        <w:t>100</w:t>
      </w:r>
      <w:r>
        <w:rPr>
          <w:rFonts w:ascii="华文楷体" w:eastAsia="华文楷体" w:hAnsi="华文楷体" w:hint="eastAsia"/>
        </w:rPr>
        <w:t>亿元，表内外融资余额突破</w:t>
      </w:r>
      <w:r>
        <w:rPr>
          <w:rFonts w:ascii="华文楷体" w:eastAsia="华文楷体" w:hAnsi="华文楷体" w:hint="eastAsia"/>
        </w:rPr>
        <w:t>1000</w:t>
      </w:r>
      <w:r>
        <w:rPr>
          <w:rFonts w:ascii="华文楷体" w:eastAsia="华文楷体" w:hAnsi="华文楷体" w:hint="eastAsia"/>
        </w:rPr>
        <w:t>亿元、有贷户突</w:t>
      </w:r>
      <w:r>
        <w:rPr>
          <w:rFonts w:ascii="华文楷体" w:eastAsia="华文楷体" w:hAnsi="华文楷体" w:hint="eastAsia"/>
        </w:rPr>
        <w:t>破</w:t>
      </w:r>
      <w:r>
        <w:rPr>
          <w:rFonts w:ascii="华文楷体" w:eastAsia="华文楷体" w:hAnsi="华文楷体" w:hint="eastAsia"/>
        </w:rPr>
        <w:t>1000</w:t>
      </w:r>
      <w:r>
        <w:rPr>
          <w:rFonts w:ascii="华文楷体" w:eastAsia="华文楷体" w:hAnsi="华文楷体" w:hint="eastAsia"/>
        </w:rPr>
        <w:t>户，科技型结算客户突破</w:t>
      </w:r>
      <w:r>
        <w:rPr>
          <w:rFonts w:ascii="华文楷体" w:eastAsia="华文楷体" w:hAnsi="华文楷体" w:hint="eastAsia"/>
        </w:rPr>
        <w:t>10000</w:t>
      </w:r>
      <w:r>
        <w:rPr>
          <w:rFonts w:ascii="华文楷体" w:eastAsia="华文楷体" w:hAnsi="华文楷体" w:hint="eastAsia"/>
        </w:rPr>
        <w:t>户。</w:t>
      </w:r>
    </w:p>
    <w:p w14:paraId="6607F44D" w14:textId="77777777" w:rsidR="00ED5EBF" w:rsidRDefault="00ED5EBF">
      <w:pPr>
        <w:spacing w:line="360" w:lineRule="auto"/>
        <w:ind w:right="357" w:firstLineChars="200" w:firstLine="480"/>
        <w:jc w:val="left"/>
        <w:rPr>
          <w:rFonts w:ascii="华文楷体" w:eastAsia="华文楷体" w:hAnsi="华文楷体"/>
        </w:rPr>
      </w:pPr>
    </w:p>
    <w:p w14:paraId="5A341200"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据工行北京分行工作人员介绍，截至</w:t>
      </w:r>
      <w:r>
        <w:rPr>
          <w:rFonts w:ascii="华文楷体" w:eastAsia="华文楷体" w:hAnsi="华文楷体" w:hint="eastAsia"/>
        </w:rPr>
        <w:t>2017</w:t>
      </w:r>
      <w:r>
        <w:rPr>
          <w:rFonts w:ascii="华文楷体" w:eastAsia="华文楷体" w:hAnsi="华文楷体" w:hint="eastAsia"/>
        </w:rPr>
        <w:t>年末，该行科技企业表内外融资总额超</w:t>
      </w:r>
      <w:r>
        <w:rPr>
          <w:rFonts w:ascii="华文楷体" w:eastAsia="华文楷体" w:hAnsi="华文楷体" w:hint="eastAsia"/>
        </w:rPr>
        <w:t>1300</w:t>
      </w:r>
      <w:r>
        <w:rPr>
          <w:rFonts w:ascii="华文楷体" w:eastAsia="华文楷体" w:hAnsi="华文楷体" w:hint="eastAsia"/>
        </w:rPr>
        <w:t>亿元，三年累计增加超</w:t>
      </w:r>
      <w:r>
        <w:rPr>
          <w:rFonts w:ascii="华文楷体" w:eastAsia="华文楷体" w:hAnsi="华文楷体" w:hint="eastAsia"/>
        </w:rPr>
        <w:t>500</w:t>
      </w:r>
      <w:r>
        <w:rPr>
          <w:rFonts w:ascii="华文楷体" w:eastAsia="华文楷体" w:hAnsi="华文楷体" w:hint="eastAsia"/>
        </w:rPr>
        <w:t>亿元；表内外融资客户数量</w:t>
      </w:r>
      <w:r>
        <w:rPr>
          <w:rFonts w:ascii="华文楷体" w:eastAsia="华文楷体" w:hAnsi="华文楷体" w:hint="eastAsia"/>
        </w:rPr>
        <w:t>1200</w:t>
      </w:r>
      <w:r>
        <w:rPr>
          <w:rFonts w:ascii="华文楷体" w:eastAsia="华文楷体" w:hAnsi="华文楷体" w:hint="eastAsia"/>
        </w:rPr>
        <w:t>余户，三年累计增加</w:t>
      </w:r>
      <w:r>
        <w:rPr>
          <w:rFonts w:ascii="华文楷体" w:eastAsia="华文楷体" w:hAnsi="华文楷体" w:hint="eastAsia"/>
        </w:rPr>
        <w:t>500</w:t>
      </w:r>
      <w:r>
        <w:rPr>
          <w:rFonts w:ascii="华文楷体" w:eastAsia="华文楷体" w:hAnsi="华文楷体" w:hint="eastAsia"/>
        </w:rPr>
        <w:t>余户；科技企业结算客户数突破</w:t>
      </w:r>
      <w:r>
        <w:rPr>
          <w:rFonts w:ascii="华文楷体" w:eastAsia="华文楷体" w:hAnsi="华文楷体" w:hint="eastAsia"/>
        </w:rPr>
        <w:t>10000</w:t>
      </w:r>
      <w:r>
        <w:rPr>
          <w:rFonts w:ascii="华文楷体" w:eastAsia="华文楷体" w:hAnsi="华文楷体" w:hint="eastAsia"/>
        </w:rPr>
        <w:t>户，三年累计增加</w:t>
      </w:r>
      <w:r>
        <w:rPr>
          <w:rFonts w:ascii="华文楷体" w:eastAsia="华文楷体" w:hAnsi="华文楷体" w:hint="eastAsia"/>
        </w:rPr>
        <w:t>4000</w:t>
      </w:r>
      <w:r>
        <w:rPr>
          <w:rFonts w:ascii="华文楷体" w:eastAsia="华文楷体" w:hAnsi="华文楷体" w:hint="eastAsia"/>
        </w:rPr>
        <w:t>余户，年均增速</w:t>
      </w:r>
      <w:r>
        <w:rPr>
          <w:rFonts w:ascii="华文楷体" w:eastAsia="华文楷体" w:hAnsi="华文楷体" w:hint="eastAsia"/>
        </w:rPr>
        <w:t>20%</w:t>
      </w:r>
      <w:r>
        <w:rPr>
          <w:rFonts w:ascii="华文楷体" w:eastAsia="华文楷体" w:hAnsi="华文楷体" w:hint="eastAsia"/>
        </w:rPr>
        <w:t>，科技金融“百千万”精品工程发展目标圆满完成。</w:t>
      </w:r>
    </w:p>
    <w:p w14:paraId="1AA376A6" w14:textId="77777777" w:rsidR="00ED5EBF" w:rsidRDefault="00ED5EBF">
      <w:pPr>
        <w:spacing w:line="360" w:lineRule="auto"/>
        <w:ind w:right="357" w:firstLineChars="200" w:firstLine="480"/>
        <w:jc w:val="left"/>
        <w:rPr>
          <w:rFonts w:ascii="华文楷体" w:eastAsia="华文楷体" w:hAnsi="华文楷体"/>
        </w:rPr>
      </w:pPr>
    </w:p>
    <w:p w14:paraId="0C0B8052"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以“政策机制”为保障，打造科技金融特色架构</w:t>
      </w:r>
    </w:p>
    <w:p w14:paraId="30467E3D" w14:textId="77777777" w:rsidR="00ED5EBF" w:rsidRDefault="00ED5EBF">
      <w:pPr>
        <w:spacing w:line="360" w:lineRule="auto"/>
        <w:ind w:right="357" w:firstLineChars="200" w:firstLine="480"/>
        <w:jc w:val="left"/>
        <w:rPr>
          <w:rFonts w:ascii="华文楷体" w:eastAsia="华文楷体" w:hAnsi="华文楷体"/>
        </w:rPr>
      </w:pPr>
    </w:p>
    <w:p w14:paraId="1B65C9B2"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该行将发展科技金融作为全行战略转型的重要手段，成立以分行行长为组长的科技金融工作领导小组，切实做到分支行上下“横向到边、</w:t>
      </w:r>
      <w:r>
        <w:rPr>
          <w:rFonts w:ascii="华文楷体" w:eastAsia="华文楷体" w:hAnsi="华文楷体" w:hint="eastAsia"/>
        </w:rPr>
        <w:t>纵向到底、全面覆盖、综合服务”。</w:t>
      </w:r>
      <w:r>
        <w:rPr>
          <w:rFonts w:ascii="华文楷体" w:eastAsia="华文楷体" w:hAnsi="华文楷体" w:hint="eastAsia"/>
        </w:rPr>
        <w:t>2016</w:t>
      </w:r>
      <w:r>
        <w:rPr>
          <w:rFonts w:ascii="华文楷体" w:eastAsia="华文楷体" w:hAnsi="华文楷体" w:hint="eastAsia"/>
        </w:rPr>
        <w:t>年，该行设立中关村业务管理部，以推进中关村示范区业务战略发展为核心职能，加大科技金融的全方位推动，加快投贷联动市场拓展与创新；同时，根据中关村国家自主创新示范区园区规划及科技企业分布，确立</w:t>
      </w:r>
      <w:r>
        <w:rPr>
          <w:rFonts w:ascii="华文楷体" w:eastAsia="华文楷体" w:hAnsi="华文楷体" w:hint="eastAsia"/>
        </w:rPr>
        <w:t>11</w:t>
      </w:r>
      <w:r>
        <w:rPr>
          <w:rFonts w:ascii="华文楷体" w:eastAsia="华文楷体" w:hAnsi="华文楷体" w:hint="eastAsia"/>
        </w:rPr>
        <w:t>家支行作为科技金融特色支行开展创新试点，为科技企业提供一站式、综合化的优质金融服务。</w:t>
      </w:r>
    </w:p>
    <w:p w14:paraId="2AF77BD8" w14:textId="77777777" w:rsidR="00ED5EBF" w:rsidRDefault="00ED5EBF">
      <w:pPr>
        <w:spacing w:line="360" w:lineRule="auto"/>
        <w:ind w:right="357" w:firstLineChars="200" w:firstLine="480"/>
        <w:jc w:val="left"/>
        <w:rPr>
          <w:rFonts w:ascii="华文楷体" w:eastAsia="华文楷体" w:hAnsi="华文楷体"/>
        </w:rPr>
      </w:pPr>
    </w:p>
    <w:p w14:paraId="7356E090"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以“探索创新”为抓手，做细科技金融综合服务</w:t>
      </w:r>
    </w:p>
    <w:p w14:paraId="66F1DF02" w14:textId="77777777" w:rsidR="00ED5EBF" w:rsidRDefault="00ED5EBF">
      <w:pPr>
        <w:spacing w:line="360" w:lineRule="auto"/>
        <w:ind w:right="357" w:firstLineChars="200" w:firstLine="480"/>
        <w:jc w:val="left"/>
        <w:rPr>
          <w:rFonts w:ascii="华文楷体" w:eastAsia="华文楷体" w:hAnsi="华文楷体"/>
        </w:rPr>
      </w:pPr>
    </w:p>
    <w:p w14:paraId="680542BD"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该行深入推进科技金融“全融资”产品服务创新，通过打造“工银启明星”科技金融品牌，深入探索科技金融支行特色专营，对内发挥引领示范作用，对外提高影响力。面对新产业、新业态、新模式客户多样化、复杂化的金融需求，该行始终坚持</w:t>
      </w:r>
      <w:r>
        <w:rPr>
          <w:rFonts w:ascii="华文楷体" w:eastAsia="华文楷体" w:hAnsi="华文楷体" w:hint="eastAsia"/>
        </w:rPr>
        <w:t xml:space="preserve"> </w:t>
      </w:r>
      <w:r>
        <w:rPr>
          <w:rFonts w:ascii="华文楷体" w:eastAsia="华文楷体" w:hAnsi="华文楷体" w:hint="eastAsia"/>
        </w:rPr>
        <w:t>“全融资”金融服务理念，通过共建特征场景、打破产品边界，充分运用“商行</w:t>
      </w:r>
      <w:r>
        <w:rPr>
          <w:rFonts w:ascii="华文楷体" w:eastAsia="华文楷体" w:hAnsi="华文楷体" w:hint="eastAsia"/>
        </w:rPr>
        <w:t>+</w:t>
      </w:r>
      <w:r>
        <w:rPr>
          <w:rFonts w:ascii="华文楷体" w:eastAsia="华文楷体" w:hAnsi="华文楷体" w:hint="eastAsia"/>
        </w:rPr>
        <w:t>投行”、“表内</w:t>
      </w:r>
      <w:r>
        <w:rPr>
          <w:rFonts w:ascii="华文楷体" w:eastAsia="华文楷体" w:hAnsi="华文楷体" w:hint="eastAsia"/>
        </w:rPr>
        <w:t>+</w:t>
      </w:r>
      <w:r>
        <w:rPr>
          <w:rFonts w:ascii="华文楷体" w:eastAsia="华文楷体" w:hAnsi="华文楷体" w:hint="eastAsia"/>
        </w:rPr>
        <w:t>表外”、“股权</w:t>
      </w:r>
      <w:r>
        <w:rPr>
          <w:rFonts w:ascii="华文楷体" w:eastAsia="华文楷体" w:hAnsi="华文楷体" w:hint="eastAsia"/>
        </w:rPr>
        <w:t>+</w:t>
      </w:r>
      <w:r>
        <w:rPr>
          <w:rFonts w:ascii="华文楷体" w:eastAsia="华文楷体" w:hAnsi="华文楷体" w:hint="eastAsia"/>
        </w:rPr>
        <w:t>债权”等综合服务模式，展现“工银启明星”品牌魅力，培育新兴市场增长点。</w:t>
      </w:r>
    </w:p>
    <w:p w14:paraId="2CDE45E5" w14:textId="77777777" w:rsidR="00ED5EBF" w:rsidRDefault="00ED5EBF">
      <w:pPr>
        <w:spacing w:line="360" w:lineRule="auto"/>
        <w:ind w:right="357" w:firstLineChars="200" w:firstLine="480"/>
        <w:jc w:val="left"/>
        <w:rPr>
          <w:rFonts w:ascii="华文楷体" w:eastAsia="华文楷体" w:hAnsi="华文楷体"/>
        </w:rPr>
      </w:pPr>
    </w:p>
    <w:p w14:paraId="662C37FB"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以“渠道建设”为支撑，建设科技金融“生态圈”</w:t>
      </w:r>
    </w:p>
    <w:p w14:paraId="496C9790" w14:textId="77777777" w:rsidR="00ED5EBF" w:rsidRDefault="00ED5EBF">
      <w:pPr>
        <w:spacing w:line="360" w:lineRule="auto"/>
        <w:ind w:right="357" w:firstLineChars="200" w:firstLine="480"/>
        <w:jc w:val="left"/>
        <w:rPr>
          <w:rFonts w:ascii="华文楷体" w:eastAsia="华文楷体" w:hAnsi="华文楷体"/>
        </w:rPr>
      </w:pPr>
    </w:p>
    <w:p w14:paraId="65FF410F"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工行北京分行相关负责人介绍，该行注重与政府相关职能部门及市属龙头企业</w:t>
      </w:r>
      <w:r>
        <w:rPr>
          <w:rFonts w:ascii="华文楷体" w:eastAsia="华文楷体" w:hAnsi="华文楷体" w:hint="eastAsia"/>
        </w:rPr>
        <w:t>合作，紧跟北京“科技创新中心”顶层建设路线图，全面助力首都科技创新中心的规划及发展。三年来，该行围绕新优市场协同联动券商、创投、基金、租赁、担保等金融同业，打通客户金融需求全链条、全环节，探索综合业务发展新模式，通过建设科技金融“生态圈”，完成了在高精尖领域的“探索、布局、深耕”三部曲。</w:t>
      </w:r>
    </w:p>
    <w:p w14:paraId="0C6FBCCF" w14:textId="77777777" w:rsidR="00ED5EBF" w:rsidRDefault="00ED5EBF">
      <w:pPr>
        <w:spacing w:line="360" w:lineRule="auto"/>
        <w:ind w:right="357" w:firstLineChars="200" w:firstLine="480"/>
        <w:jc w:val="left"/>
        <w:rPr>
          <w:rFonts w:ascii="华文楷体" w:eastAsia="华文楷体" w:hAnsi="华文楷体"/>
        </w:rPr>
      </w:pPr>
    </w:p>
    <w:p w14:paraId="35AB1B4E"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未来，工行北京分行将继续以“强机制”作为发展科技金融的基本保障，以“强专业”作为发展科技金融的关键支撑，以“强产品”作为发展科技金融的核心抓手，以“强渠道”作为发展科技金融的重要手段，扎实推进科技金融的纵深高质量发展。</w:t>
      </w:r>
    </w:p>
    <w:p w14:paraId="00434B78" w14:textId="77777777" w:rsidR="00ED5EBF" w:rsidRDefault="00ED5EBF">
      <w:pPr>
        <w:spacing w:line="360" w:lineRule="auto"/>
        <w:ind w:right="357" w:firstLineChars="200" w:firstLine="480"/>
        <w:jc w:val="left"/>
        <w:rPr>
          <w:rFonts w:ascii="华文楷体" w:eastAsia="华文楷体" w:hAnsi="华文楷体"/>
        </w:rPr>
      </w:pPr>
    </w:p>
    <w:p w14:paraId="30B2DCB0" w14:textId="77777777" w:rsidR="00ED5EBF" w:rsidRDefault="00ED5EBF">
      <w:pPr>
        <w:spacing w:line="360" w:lineRule="auto"/>
        <w:ind w:right="357" w:firstLineChars="200" w:firstLine="480"/>
        <w:jc w:val="left"/>
        <w:rPr>
          <w:rFonts w:ascii="华文楷体" w:eastAsia="华文楷体" w:hAnsi="华文楷体"/>
        </w:rPr>
      </w:pPr>
    </w:p>
    <w:p w14:paraId="58C91837" w14:textId="77777777" w:rsidR="00ED5EBF" w:rsidRDefault="00ED5EBF">
      <w:pPr>
        <w:spacing w:line="360" w:lineRule="auto"/>
        <w:ind w:right="357" w:firstLineChars="200" w:firstLine="480"/>
        <w:jc w:val="left"/>
        <w:rPr>
          <w:rFonts w:ascii="华文楷体" w:eastAsia="华文楷体" w:hAnsi="华文楷体"/>
        </w:rPr>
      </w:pPr>
    </w:p>
    <w:p w14:paraId="35B2DAC3" w14:textId="77777777" w:rsidR="00ED5EBF" w:rsidRDefault="00ED5EBF">
      <w:pPr>
        <w:spacing w:line="360" w:lineRule="auto"/>
        <w:ind w:right="357" w:firstLineChars="200" w:firstLine="480"/>
        <w:jc w:val="left"/>
        <w:rPr>
          <w:rFonts w:ascii="华文楷体" w:eastAsia="华文楷体" w:hAnsi="华文楷体"/>
        </w:rPr>
      </w:pPr>
    </w:p>
    <w:p w14:paraId="297F2A15" w14:textId="77777777" w:rsidR="00ED5EBF" w:rsidRDefault="00ED5EBF">
      <w:pPr>
        <w:spacing w:line="360" w:lineRule="auto"/>
        <w:ind w:right="357" w:firstLineChars="200" w:firstLine="480"/>
        <w:jc w:val="left"/>
        <w:rPr>
          <w:rFonts w:ascii="华文楷体" w:eastAsia="华文楷体" w:hAnsi="华文楷体"/>
        </w:rPr>
      </w:pPr>
    </w:p>
    <w:p w14:paraId="0E7E26CC" w14:textId="77777777" w:rsidR="00ED5EBF" w:rsidRDefault="00ED5EBF">
      <w:pPr>
        <w:spacing w:line="360" w:lineRule="auto"/>
        <w:ind w:right="357" w:firstLineChars="200" w:firstLine="480"/>
        <w:jc w:val="left"/>
        <w:rPr>
          <w:rFonts w:ascii="华文楷体" w:eastAsia="华文楷体" w:hAnsi="华文楷体"/>
        </w:rPr>
      </w:pPr>
    </w:p>
    <w:p w14:paraId="18A3184F" w14:textId="77777777" w:rsidR="00ED5EBF" w:rsidRDefault="00ED5EBF">
      <w:pPr>
        <w:spacing w:line="360" w:lineRule="auto"/>
        <w:ind w:right="357" w:firstLineChars="200" w:firstLine="480"/>
        <w:jc w:val="left"/>
        <w:rPr>
          <w:rFonts w:ascii="华文楷体" w:eastAsia="华文楷体" w:hAnsi="华文楷体"/>
        </w:rPr>
      </w:pPr>
    </w:p>
    <w:p w14:paraId="43E84B04" w14:textId="77777777" w:rsidR="00ED5EBF" w:rsidRDefault="00ED5EBF">
      <w:pPr>
        <w:spacing w:line="360" w:lineRule="auto"/>
        <w:ind w:right="357" w:firstLineChars="200" w:firstLine="480"/>
        <w:jc w:val="left"/>
        <w:rPr>
          <w:rFonts w:ascii="华文楷体" w:eastAsia="华文楷体" w:hAnsi="华文楷体"/>
        </w:rPr>
      </w:pPr>
    </w:p>
    <w:p w14:paraId="4192BAC2" w14:textId="77777777" w:rsidR="00ED5EBF" w:rsidRDefault="00ED5EBF">
      <w:pPr>
        <w:spacing w:line="360" w:lineRule="auto"/>
        <w:ind w:right="357" w:firstLineChars="200" w:firstLine="480"/>
        <w:jc w:val="left"/>
        <w:rPr>
          <w:rFonts w:ascii="华文楷体" w:eastAsia="华文楷体" w:hAnsi="华文楷体"/>
        </w:rPr>
      </w:pPr>
    </w:p>
    <w:p w14:paraId="35138A4E" w14:textId="77777777" w:rsidR="00ED5EBF" w:rsidRDefault="00ED5EBF">
      <w:pPr>
        <w:spacing w:line="360" w:lineRule="auto"/>
        <w:ind w:right="357" w:firstLineChars="200" w:firstLine="480"/>
        <w:jc w:val="left"/>
        <w:rPr>
          <w:rFonts w:ascii="华文楷体" w:eastAsia="华文楷体" w:hAnsi="华文楷体"/>
        </w:rPr>
      </w:pPr>
    </w:p>
    <w:p w14:paraId="49ADA668" w14:textId="77777777" w:rsidR="00ED5EBF" w:rsidRDefault="00ED5EBF">
      <w:pPr>
        <w:spacing w:line="360" w:lineRule="auto"/>
        <w:ind w:right="357" w:firstLineChars="200" w:firstLine="480"/>
        <w:jc w:val="left"/>
        <w:rPr>
          <w:rFonts w:ascii="华文楷体" w:eastAsia="华文楷体" w:hAnsi="华文楷体"/>
        </w:rPr>
      </w:pPr>
    </w:p>
    <w:p w14:paraId="25D5B5FB" w14:textId="77777777" w:rsidR="00ED5EBF" w:rsidRDefault="00ED5EBF">
      <w:pPr>
        <w:spacing w:line="360" w:lineRule="auto"/>
        <w:ind w:right="357" w:firstLineChars="200" w:firstLine="480"/>
        <w:jc w:val="left"/>
        <w:rPr>
          <w:rFonts w:ascii="华文楷体" w:eastAsia="华文楷体" w:hAnsi="华文楷体"/>
        </w:rPr>
      </w:pPr>
    </w:p>
    <w:p w14:paraId="12B31BA1" w14:textId="77777777" w:rsidR="00ED5EBF" w:rsidRDefault="00ED5EBF">
      <w:pPr>
        <w:spacing w:line="360" w:lineRule="auto"/>
        <w:ind w:right="357" w:firstLineChars="200" w:firstLine="480"/>
        <w:jc w:val="left"/>
        <w:rPr>
          <w:rFonts w:ascii="华文楷体" w:eastAsia="华文楷体" w:hAnsi="华文楷体"/>
        </w:rPr>
      </w:pPr>
    </w:p>
    <w:p w14:paraId="7C37A0DD" w14:textId="77777777" w:rsidR="00ED5EBF" w:rsidRDefault="00ED5EBF">
      <w:pPr>
        <w:spacing w:line="360" w:lineRule="auto"/>
        <w:ind w:right="357" w:firstLineChars="200" w:firstLine="480"/>
        <w:jc w:val="left"/>
        <w:rPr>
          <w:rFonts w:ascii="华文楷体" w:eastAsia="华文楷体" w:hAnsi="华文楷体"/>
        </w:rPr>
      </w:pPr>
    </w:p>
    <w:p w14:paraId="7D233305" w14:textId="77777777" w:rsidR="00ED5EBF" w:rsidRDefault="00ED5EBF">
      <w:pPr>
        <w:spacing w:line="360" w:lineRule="auto"/>
        <w:ind w:right="357" w:firstLineChars="200" w:firstLine="480"/>
        <w:jc w:val="left"/>
        <w:rPr>
          <w:rFonts w:ascii="华文楷体" w:eastAsia="华文楷体" w:hAnsi="华文楷体"/>
        </w:rPr>
      </w:pPr>
    </w:p>
    <w:p w14:paraId="4A694705" w14:textId="77777777" w:rsidR="00ED5EBF" w:rsidRDefault="00ED5EBF">
      <w:pPr>
        <w:spacing w:line="360" w:lineRule="auto"/>
        <w:ind w:right="357" w:firstLineChars="200" w:firstLine="480"/>
        <w:jc w:val="left"/>
        <w:rPr>
          <w:rFonts w:ascii="华文楷体" w:eastAsia="华文楷体" w:hAnsi="华文楷体"/>
        </w:rPr>
      </w:pPr>
    </w:p>
    <w:p w14:paraId="43D65C90" w14:textId="77777777" w:rsidR="00ED5EBF" w:rsidRDefault="00ED5EBF">
      <w:pPr>
        <w:spacing w:line="360" w:lineRule="auto"/>
        <w:ind w:right="357" w:firstLineChars="200" w:firstLine="480"/>
        <w:jc w:val="left"/>
        <w:rPr>
          <w:rFonts w:ascii="华文楷体" w:eastAsia="华文楷体" w:hAnsi="华文楷体"/>
        </w:rPr>
      </w:pPr>
    </w:p>
    <w:p w14:paraId="11A9E0AC" w14:textId="77777777" w:rsidR="00ED5EBF" w:rsidRDefault="00ED5EBF">
      <w:pPr>
        <w:spacing w:line="360" w:lineRule="auto"/>
        <w:ind w:right="357" w:firstLineChars="200" w:firstLine="480"/>
        <w:jc w:val="left"/>
        <w:rPr>
          <w:rFonts w:ascii="华文楷体" w:eastAsia="华文楷体" w:hAnsi="华文楷体"/>
        </w:rPr>
      </w:pPr>
    </w:p>
    <w:p w14:paraId="3D1CF097" w14:textId="77777777" w:rsidR="00ED5EBF" w:rsidRDefault="00ED5EBF">
      <w:pPr>
        <w:spacing w:line="360" w:lineRule="auto"/>
        <w:ind w:right="357" w:firstLineChars="200" w:firstLine="480"/>
        <w:jc w:val="left"/>
        <w:rPr>
          <w:rFonts w:ascii="华文楷体" w:eastAsia="华文楷体" w:hAnsi="华文楷体"/>
        </w:rPr>
      </w:pPr>
    </w:p>
    <w:p w14:paraId="1A469CFC" w14:textId="77777777" w:rsidR="00ED5EBF" w:rsidRDefault="00ED5EBF">
      <w:pPr>
        <w:spacing w:line="360" w:lineRule="auto"/>
        <w:ind w:right="357" w:firstLineChars="200" w:firstLine="480"/>
        <w:jc w:val="left"/>
        <w:rPr>
          <w:rFonts w:ascii="华文楷体" w:eastAsia="华文楷体" w:hAnsi="华文楷体"/>
        </w:rPr>
      </w:pPr>
    </w:p>
    <w:p w14:paraId="22013801" w14:textId="77777777" w:rsidR="00ED5EBF" w:rsidRDefault="002034C8">
      <w:pPr>
        <w:spacing w:line="360" w:lineRule="auto"/>
        <w:ind w:right="357" w:firstLineChars="200" w:firstLine="480"/>
        <w:jc w:val="center"/>
        <w:rPr>
          <w:rFonts w:ascii="华文中宋" w:eastAsia="华文中宋" w:hAnsi="华文中宋" w:cs="华文中宋"/>
          <w:b/>
        </w:rPr>
      </w:pPr>
      <w:bookmarkStart w:id="40" w:name="三问实体经济如何实现高质量发展"/>
      <w:r>
        <w:rPr>
          <w:rFonts w:ascii="华文中宋" w:eastAsia="华文中宋" w:hAnsi="华文中宋" w:cs="华文中宋" w:hint="eastAsia"/>
          <w:b/>
        </w:rPr>
        <w:t>三问实体经济如何实现高质量发展</w:t>
      </w:r>
      <w:bookmarkEnd w:id="40"/>
    </w:p>
    <w:p w14:paraId="23CE4AA4" w14:textId="77777777" w:rsidR="00ED5EBF" w:rsidRDefault="002034C8">
      <w:pPr>
        <w:spacing w:line="360" w:lineRule="auto"/>
        <w:ind w:right="357" w:firstLineChars="200" w:firstLine="480"/>
        <w:jc w:val="center"/>
        <w:rPr>
          <w:rFonts w:ascii="华文楷体" w:eastAsia="华文楷体" w:hAnsi="华文楷体"/>
          <w:szCs w:val="21"/>
        </w:rPr>
      </w:pPr>
      <w:r>
        <w:rPr>
          <w:rFonts w:ascii="华文楷体" w:eastAsia="华文楷体" w:hAnsi="华文楷体"/>
          <w:szCs w:val="21"/>
        </w:rPr>
        <w:t>2018-03-15</w:t>
      </w:r>
      <w:r>
        <w:rPr>
          <w:rFonts w:ascii="华文楷体" w:eastAsia="华文楷体" w:hAnsi="华文楷体" w:hint="eastAsia"/>
          <w:szCs w:val="21"/>
        </w:rPr>
        <w:t xml:space="preserve">  </w:t>
      </w:r>
      <w:r>
        <w:rPr>
          <w:rFonts w:ascii="华文楷体" w:eastAsia="华文楷体" w:hAnsi="华文楷体" w:hint="eastAsia"/>
          <w:szCs w:val="21"/>
        </w:rPr>
        <w:t>来源：金融时报</w:t>
      </w:r>
    </w:p>
    <w:p w14:paraId="3C124BF9" w14:textId="77777777" w:rsidR="00ED5EBF" w:rsidRDefault="00ED5EBF">
      <w:pPr>
        <w:spacing w:line="360" w:lineRule="auto"/>
        <w:ind w:right="357"/>
        <w:jc w:val="left"/>
        <w:rPr>
          <w:rFonts w:ascii="华文楷体" w:eastAsia="华文楷体" w:hAnsi="华文楷体"/>
        </w:rPr>
      </w:pPr>
    </w:p>
    <w:p w14:paraId="24F9537E"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党的十九大报告指出，我国经济已由高速增长阶段转向高质量发展阶段。</w:t>
      </w:r>
      <w:r>
        <w:rPr>
          <w:rFonts w:ascii="华文楷体" w:eastAsia="华文楷体" w:hAnsi="华文楷体" w:hint="eastAsia"/>
        </w:rPr>
        <w:t>3</w:t>
      </w:r>
      <w:r>
        <w:rPr>
          <w:rFonts w:ascii="华文楷体" w:eastAsia="华文楷体" w:hAnsi="华文楷体" w:hint="eastAsia"/>
        </w:rPr>
        <w:t>月</w:t>
      </w:r>
      <w:r>
        <w:rPr>
          <w:rFonts w:ascii="华文楷体" w:eastAsia="华文楷体" w:hAnsi="华文楷体" w:hint="eastAsia"/>
        </w:rPr>
        <w:t>5</w:t>
      </w:r>
      <w:r>
        <w:rPr>
          <w:rFonts w:ascii="华文楷体" w:eastAsia="华文楷体" w:hAnsi="华文楷体" w:hint="eastAsia"/>
        </w:rPr>
        <w:t>日，国务院总理李克强作政府工作报告时强调，要大力推动高质量发展。</w:t>
      </w:r>
    </w:p>
    <w:p w14:paraId="0C04DFEB" w14:textId="77777777" w:rsidR="00ED5EBF" w:rsidRDefault="00ED5EBF">
      <w:pPr>
        <w:spacing w:line="360" w:lineRule="auto"/>
        <w:ind w:right="357" w:firstLineChars="200" w:firstLine="480"/>
        <w:jc w:val="left"/>
        <w:rPr>
          <w:rFonts w:ascii="华文楷体" w:eastAsia="华文楷体" w:hAnsi="华文楷体"/>
        </w:rPr>
      </w:pPr>
    </w:p>
    <w:p w14:paraId="320EF75D"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实体经济是高质量发展的主体，是经济强国的根基。</w:t>
      </w:r>
    </w:p>
    <w:p w14:paraId="03347F15" w14:textId="77777777" w:rsidR="00ED5EBF" w:rsidRDefault="00ED5EBF">
      <w:pPr>
        <w:spacing w:line="360" w:lineRule="auto"/>
        <w:ind w:right="357" w:firstLineChars="200" w:firstLine="480"/>
        <w:jc w:val="left"/>
        <w:rPr>
          <w:rFonts w:ascii="华文楷体" w:eastAsia="华文楷体" w:hAnsi="华文楷体"/>
        </w:rPr>
      </w:pPr>
    </w:p>
    <w:p w14:paraId="0FFC095F"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实现高质量发展，实体经济应如何突围？服务实体经济，金融如何继续发力？推进高质量发展，如何为实体经济减税降费？围绕上述问题，全国政协委员们展开热烈讨论，积极建言献策。</w:t>
      </w:r>
    </w:p>
    <w:p w14:paraId="53003297" w14:textId="77777777" w:rsidR="00ED5EBF" w:rsidRDefault="00ED5EBF">
      <w:pPr>
        <w:spacing w:line="360" w:lineRule="auto"/>
        <w:ind w:right="357" w:firstLineChars="200" w:firstLine="480"/>
        <w:jc w:val="left"/>
        <w:rPr>
          <w:rFonts w:ascii="华文楷体" w:eastAsia="华文楷体" w:hAnsi="华文楷体"/>
        </w:rPr>
      </w:pPr>
    </w:p>
    <w:p w14:paraId="49A1BAB9"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如何振兴实体经济</w:t>
      </w:r>
    </w:p>
    <w:p w14:paraId="5C852C50" w14:textId="77777777" w:rsidR="00ED5EBF" w:rsidRDefault="00ED5EBF">
      <w:pPr>
        <w:spacing w:line="360" w:lineRule="auto"/>
        <w:ind w:right="357" w:firstLineChars="200" w:firstLine="480"/>
        <w:jc w:val="left"/>
        <w:rPr>
          <w:rFonts w:ascii="华文楷体" w:eastAsia="华文楷体" w:hAnsi="华文楷体"/>
        </w:rPr>
      </w:pPr>
    </w:p>
    <w:p w14:paraId="7C01E27C"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振兴实体经济是强国之基。党中央、国务院高度重视实体经济发展，今年的政府工作报告再度为实体经济“提气鼓劲”，明确提出“坚持把发展经济着力点放在实体经济上”。</w:t>
      </w:r>
    </w:p>
    <w:p w14:paraId="6F5A9EB0" w14:textId="77777777" w:rsidR="00ED5EBF" w:rsidRDefault="00ED5EBF">
      <w:pPr>
        <w:spacing w:line="360" w:lineRule="auto"/>
        <w:ind w:right="357" w:firstLineChars="200" w:firstLine="480"/>
        <w:jc w:val="left"/>
        <w:rPr>
          <w:rFonts w:ascii="华文楷体" w:eastAsia="华文楷体" w:hAnsi="华文楷体"/>
        </w:rPr>
      </w:pPr>
    </w:p>
    <w:p w14:paraId="0286B8A8"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全国政协委员们在为政府工作报告“点赞”的同时，也在思考如何振兴实体经济，努力实现高质量发展。</w:t>
      </w:r>
    </w:p>
    <w:p w14:paraId="0566BC1C" w14:textId="77777777" w:rsidR="00ED5EBF" w:rsidRDefault="00ED5EBF">
      <w:pPr>
        <w:spacing w:line="360" w:lineRule="auto"/>
        <w:ind w:right="357" w:firstLineChars="200" w:firstLine="480"/>
        <w:jc w:val="left"/>
        <w:rPr>
          <w:rFonts w:ascii="华文楷体" w:eastAsia="华文楷体" w:hAnsi="华文楷体"/>
        </w:rPr>
      </w:pPr>
    </w:p>
    <w:p w14:paraId="514B1EB1"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3</w:t>
      </w:r>
      <w:r>
        <w:rPr>
          <w:rFonts w:ascii="华文楷体" w:eastAsia="华文楷体" w:hAnsi="华文楷体" w:hint="eastAsia"/>
        </w:rPr>
        <w:t>月</w:t>
      </w:r>
      <w:r>
        <w:rPr>
          <w:rFonts w:ascii="华文楷体" w:eastAsia="华文楷体" w:hAnsi="华文楷体" w:hint="eastAsia"/>
        </w:rPr>
        <w:t>12</w:t>
      </w:r>
      <w:r>
        <w:rPr>
          <w:rFonts w:ascii="华文楷体" w:eastAsia="华文楷体" w:hAnsi="华文楷体" w:hint="eastAsia"/>
        </w:rPr>
        <w:t>日，全国政协委员、招商局集团董事长李建红在政协经济界别讨论会上表示，从招商局多年经营经验的角度出发，要做强做好实体经济，促进经济高质量发展，有以下几个方面的工作要重视。</w:t>
      </w:r>
    </w:p>
    <w:p w14:paraId="49E556B0" w14:textId="77777777" w:rsidR="00ED5EBF" w:rsidRDefault="00ED5EBF">
      <w:pPr>
        <w:spacing w:line="360" w:lineRule="auto"/>
        <w:ind w:right="357" w:firstLineChars="200" w:firstLine="480"/>
        <w:jc w:val="left"/>
        <w:rPr>
          <w:rFonts w:ascii="华文楷体" w:eastAsia="华文楷体" w:hAnsi="华文楷体"/>
        </w:rPr>
      </w:pPr>
    </w:p>
    <w:p w14:paraId="7E3B8C27"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一是优化发展理念，要从原来的“追求规模和速度”转向“追求质量、追求效益”。他说</w:t>
      </w:r>
      <w:r>
        <w:rPr>
          <w:rFonts w:ascii="华文楷体" w:eastAsia="华文楷体" w:hAnsi="华文楷体" w:hint="eastAsia"/>
        </w:rPr>
        <w:t>，招商局自</w:t>
      </w:r>
      <w:r>
        <w:rPr>
          <w:rFonts w:ascii="华文楷体" w:eastAsia="华文楷体" w:hAnsi="华文楷体" w:hint="eastAsia"/>
        </w:rPr>
        <w:t>2014</w:t>
      </w:r>
      <w:r>
        <w:rPr>
          <w:rFonts w:ascii="华文楷体" w:eastAsia="华文楷体" w:hAnsi="华文楷体" w:hint="eastAsia"/>
        </w:rPr>
        <w:t>年以来也强调了这种导向，对下属二级企业，从原来考核收入、规模增长等指标，调整为考核净资产回报率等指标。“要在原有的基础上，每年有实质性提高。”李建红称。</w:t>
      </w:r>
    </w:p>
    <w:p w14:paraId="4D7CBBCA" w14:textId="77777777" w:rsidR="00ED5EBF" w:rsidRDefault="00ED5EBF">
      <w:pPr>
        <w:spacing w:line="360" w:lineRule="auto"/>
        <w:ind w:right="357" w:firstLineChars="200" w:firstLine="480"/>
        <w:jc w:val="left"/>
        <w:rPr>
          <w:rFonts w:ascii="华文楷体" w:eastAsia="华文楷体" w:hAnsi="华文楷体"/>
        </w:rPr>
      </w:pPr>
    </w:p>
    <w:p w14:paraId="453D0588"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二是努力做强主业，不断推动实体经济转型升级。李建红表示，具体而言，一方面对同质化竞争、同业化竞争的企业要进行实质性的资产重组，通过重组来提升核心竞争力；另一方面，要根据产业升级和全球市场的竞争需要，“所以，我们要放弃普通的双层制造的低端竞争，转向高端的邮轮产业，实现转型升级。”</w:t>
      </w:r>
    </w:p>
    <w:p w14:paraId="510A0161" w14:textId="77777777" w:rsidR="00ED5EBF" w:rsidRDefault="00ED5EBF">
      <w:pPr>
        <w:spacing w:line="360" w:lineRule="auto"/>
        <w:ind w:right="357" w:firstLineChars="200" w:firstLine="480"/>
        <w:jc w:val="left"/>
        <w:rPr>
          <w:rFonts w:ascii="华文楷体" w:eastAsia="华文楷体" w:hAnsi="华文楷体"/>
        </w:rPr>
      </w:pPr>
    </w:p>
    <w:p w14:paraId="07E3D151"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三是要强化创新驱动，引入容错机制。要推动在科技创新、管理创新、战略模式创新等方面的探索，推动“产业</w:t>
      </w:r>
      <w:r>
        <w:rPr>
          <w:rFonts w:ascii="华文楷体" w:eastAsia="华文楷体" w:hAnsi="华文楷体" w:hint="eastAsia"/>
        </w:rPr>
        <w:t>+</w:t>
      </w:r>
      <w:r>
        <w:rPr>
          <w:rFonts w:ascii="华文楷体" w:eastAsia="华文楷体" w:hAnsi="华文楷体" w:hint="eastAsia"/>
        </w:rPr>
        <w:t>互联网”、“产业</w:t>
      </w:r>
      <w:r>
        <w:rPr>
          <w:rFonts w:ascii="华文楷体" w:eastAsia="华文楷体" w:hAnsi="华文楷体" w:hint="eastAsia"/>
        </w:rPr>
        <w:t>+</w:t>
      </w:r>
      <w:r>
        <w:rPr>
          <w:rFonts w:ascii="华文楷体" w:eastAsia="华文楷体" w:hAnsi="华文楷体" w:hint="eastAsia"/>
        </w:rPr>
        <w:t>科技”，打造制造业生态圈。</w:t>
      </w:r>
    </w:p>
    <w:p w14:paraId="49E1B331" w14:textId="77777777" w:rsidR="00ED5EBF" w:rsidRDefault="00ED5EBF">
      <w:pPr>
        <w:spacing w:line="360" w:lineRule="auto"/>
        <w:ind w:right="357" w:firstLineChars="200" w:firstLine="480"/>
        <w:jc w:val="left"/>
        <w:rPr>
          <w:rFonts w:ascii="华文楷体" w:eastAsia="华文楷体" w:hAnsi="华文楷体"/>
        </w:rPr>
      </w:pPr>
    </w:p>
    <w:p w14:paraId="72A4436D"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四是要突出人才作用，充分发挥市场在配置人才方面的积极作用。</w:t>
      </w:r>
    </w:p>
    <w:p w14:paraId="22BBAAA1" w14:textId="77777777" w:rsidR="00ED5EBF" w:rsidRDefault="00ED5EBF">
      <w:pPr>
        <w:spacing w:line="360" w:lineRule="auto"/>
        <w:ind w:right="357" w:firstLineChars="200" w:firstLine="480"/>
        <w:jc w:val="left"/>
        <w:rPr>
          <w:rFonts w:ascii="华文楷体" w:eastAsia="华文楷体" w:hAnsi="华文楷体"/>
        </w:rPr>
      </w:pPr>
    </w:p>
    <w:p w14:paraId="148DAA0C"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政府工作报告指出，要把握世界新一轮科技革命和产业变革大势，深入实施创新驱动发展战略，不断增强经济创新力和竞争力。</w:t>
      </w:r>
    </w:p>
    <w:p w14:paraId="19C153BF" w14:textId="77777777" w:rsidR="00ED5EBF" w:rsidRDefault="00ED5EBF">
      <w:pPr>
        <w:spacing w:line="360" w:lineRule="auto"/>
        <w:ind w:right="357" w:firstLineChars="200" w:firstLine="480"/>
        <w:jc w:val="left"/>
        <w:rPr>
          <w:rFonts w:ascii="华文楷体" w:eastAsia="华文楷体" w:hAnsi="华文楷体"/>
        </w:rPr>
      </w:pPr>
    </w:p>
    <w:p w14:paraId="28B68182"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委员们纷纷表示，坚持科技创新引领是实现高质量发展的关键。</w:t>
      </w:r>
    </w:p>
    <w:p w14:paraId="7C9317C3" w14:textId="77777777" w:rsidR="00ED5EBF" w:rsidRDefault="00ED5EBF">
      <w:pPr>
        <w:spacing w:line="360" w:lineRule="auto"/>
        <w:ind w:right="357" w:firstLineChars="200" w:firstLine="480"/>
        <w:jc w:val="left"/>
        <w:rPr>
          <w:rFonts w:ascii="华文楷体" w:eastAsia="华文楷体" w:hAnsi="华文楷体"/>
        </w:rPr>
      </w:pPr>
    </w:p>
    <w:p w14:paraId="3203953E"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全国政协委员、港珠澳大桥管理局总工程师苏权科表示，港珠澳大桥的建成表明中国特大工程能力、技术装备能力以及跨境工程组织管理能力和</w:t>
      </w:r>
      <w:r>
        <w:rPr>
          <w:rFonts w:ascii="华文楷体" w:eastAsia="华文楷体" w:hAnsi="华文楷体" w:hint="eastAsia"/>
        </w:rPr>
        <w:t>机制等多个领域取得全面成功。“最终，我们形成了超长跨海大桥的</w:t>
      </w:r>
      <w:r>
        <w:rPr>
          <w:rFonts w:ascii="华文楷体" w:eastAsia="华文楷体" w:hAnsi="华文楷体" w:hint="eastAsia"/>
        </w:rPr>
        <w:t>63</w:t>
      </w:r>
      <w:r>
        <w:rPr>
          <w:rFonts w:ascii="华文楷体" w:eastAsia="华文楷体" w:hAnsi="华文楷体" w:hint="eastAsia"/>
        </w:rPr>
        <w:t>项技术标准，包括</w:t>
      </w:r>
      <w:r>
        <w:rPr>
          <w:rFonts w:ascii="华文楷体" w:eastAsia="华文楷体" w:hAnsi="华文楷体" w:hint="eastAsia"/>
        </w:rPr>
        <w:t>600</w:t>
      </w:r>
      <w:r>
        <w:rPr>
          <w:rFonts w:ascii="华文楷体" w:eastAsia="华文楷体" w:hAnsi="华文楷体" w:hint="eastAsia"/>
        </w:rPr>
        <w:t>多项专利、</w:t>
      </w:r>
      <w:r>
        <w:rPr>
          <w:rFonts w:ascii="华文楷体" w:eastAsia="华文楷体" w:hAnsi="华文楷体" w:hint="eastAsia"/>
        </w:rPr>
        <w:t>100</w:t>
      </w:r>
      <w:r>
        <w:rPr>
          <w:rFonts w:ascii="华文楷体" w:eastAsia="华文楷体" w:hAnsi="华文楷体" w:hint="eastAsia"/>
        </w:rPr>
        <w:t>多套专利装备。为我国交通建筑行业‘走出去’和‘一带一路’基础设施建设打下科技能力基础。希望未来科技创新能够更多地与产业结合，激发发展的新动能。”</w:t>
      </w:r>
    </w:p>
    <w:p w14:paraId="4E8139AC" w14:textId="77777777" w:rsidR="00ED5EBF" w:rsidRDefault="00ED5EBF">
      <w:pPr>
        <w:spacing w:line="360" w:lineRule="auto"/>
        <w:ind w:right="357" w:firstLineChars="200" w:firstLine="480"/>
        <w:jc w:val="left"/>
        <w:rPr>
          <w:rFonts w:ascii="华文楷体" w:eastAsia="华文楷体" w:hAnsi="华文楷体"/>
        </w:rPr>
      </w:pPr>
    </w:p>
    <w:p w14:paraId="4E8E66A2"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金融如何提升服务实体经济能力</w:t>
      </w:r>
    </w:p>
    <w:p w14:paraId="480424F3" w14:textId="77777777" w:rsidR="00ED5EBF" w:rsidRDefault="00ED5EBF">
      <w:pPr>
        <w:spacing w:line="360" w:lineRule="auto"/>
        <w:ind w:right="357" w:firstLineChars="200" w:firstLine="480"/>
        <w:jc w:val="left"/>
        <w:rPr>
          <w:rFonts w:ascii="华文楷体" w:eastAsia="华文楷体" w:hAnsi="华文楷体"/>
        </w:rPr>
      </w:pPr>
    </w:p>
    <w:p w14:paraId="620A5EC9"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全国政协委员、中国人民银行副行长陈雨露表示，服务实体经济是金融部门的天职和本分，金融服务实体经济高质量发展是新时代的核心使命。如何通过深化改革、扩大开放来不断提升中国金融业核心竞争力，以便更好更长远地服务实体经济，是当前的重要任务</w:t>
      </w:r>
      <w:r>
        <w:rPr>
          <w:rFonts w:ascii="华文楷体" w:eastAsia="华文楷体" w:hAnsi="华文楷体" w:hint="eastAsia"/>
        </w:rPr>
        <w:t>。</w:t>
      </w:r>
    </w:p>
    <w:p w14:paraId="42E31D0F" w14:textId="77777777" w:rsidR="00ED5EBF" w:rsidRDefault="00ED5EBF">
      <w:pPr>
        <w:spacing w:line="360" w:lineRule="auto"/>
        <w:ind w:right="357" w:firstLineChars="200" w:firstLine="480"/>
        <w:jc w:val="left"/>
        <w:rPr>
          <w:rFonts w:ascii="华文楷体" w:eastAsia="华文楷体" w:hAnsi="华文楷体"/>
        </w:rPr>
      </w:pPr>
    </w:p>
    <w:p w14:paraId="1DDEB2B3"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高质量发展需要一套全新的指标体系、核算体系和绩效评价体系。对金融服务实体经济来说，也需要一个更加科学、清晰的指挥棒。例如，如何根据五大新发展理念，结合联合国国民经济核算体系改革的方向来编制创新发展账户、居民福利账户、环境核算账户以及经过系统性风险调整的金融增加值核算方法等。”陈雨露认为。</w:t>
      </w:r>
    </w:p>
    <w:p w14:paraId="037A463C" w14:textId="77777777" w:rsidR="00ED5EBF" w:rsidRDefault="00ED5EBF">
      <w:pPr>
        <w:spacing w:line="360" w:lineRule="auto"/>
        <w:ind w:right="357" w:firstLineChars="200" w:firstLine="480"/>
        <w:jc w:val="left"/>
        <w:rPr>
          <w:rFonts w:ascii="华文楷体" w:eastAsia="华文楷体" w:hAnsi="华文楷体"/>
        </w:rPr>
      </w:pPr>
    </w:p>
    <w:p w14:paraId="04E53109"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高效而始终不渝地为实体经济服务的金融才是高质量的金融。为此，必须纠正当下金融“脱实向虚”的跑偏行为。</w:t>
      </w:r>
    </w:p>
    <w:p w14:paraId="6796D373" w14:textId="77777777" w:rsidR="00ED5EBF" w:rsidRDefault="00ED5EBF">
      <w:pPr>
        <w:spacing w:line="360" w:lineRule="auto"/>
        <w:ind w:right="357" w:firstLineChars="200" w:firstLine="480"/>
        <w:jc w:val="left"/>
        <w:rPr>
          <w:rFonts w:ascii="华文楷体" w:eastAsia="华文楷体" w:hAnsi="华文楷体"/>
        </w:rPr>
      </w:pPr>
    </w:p>
    <w:p w14:paraId="203AD0ED"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“金融乱象和‘脱实向虚’的问题对经济有害，必须严加治理。从保险业讲，要引导资金‘脱虚向实’，一是在产品设计方</w:t>
      </w:r>
      <w:r>
        <w:rPr>
          <w:rFonts w:ascii="华文楷体" w:eastAsia="华文楷体" w:hAnsi="华文楷体" w:hint="eastAsia"/>
        </w:rPr>
        <w:t>面要提高保障水平；二是在产品创新方面要提高实体经济的保障能力；三是保险产品在收费、定价等方面要更贴近实体经济的需求。把物美价廉、保障充分的保险产品提供给实体经济的投保人。”全国政协委员、中国保监会原副主席周延礼认为。</w:t>
      </w:r>
    </w:p>
    <w:p w14:paraId="0B6DC807" w14:textId="77777777" w:rsidR="00ED5EBF" w:rsidRDefault="00ED5EBF">
      <w:pPr>
        <w:spacing w:line="360" w:lineRule="auto"/>
        <w:ind w:right="357" w:firstLineChars="200" w:firstLine="480"/>
        <w:jc w:val="left"/>
        <w:rPr>
          <w:rFonts w:ascii="华文楷体" w:eastAsia="华文楷体" w:hAnsi="华文楷体"/>
        </w:rPr>
      </w:pPr>
    </w:p>
    <w:p w14:paraId="0D9F634D"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全国政协委员、中国农业发展银行董事长解学智表示，引导资金“脱虚向实”，振兴实体经济，金融需要支持农业。农业是中国经济的最大短板，作为农业政策性银行，农发行必须坚持服务“三农”的根本宗旨，为涉农实体经济发展提供金融服务。发挥政策性银行优势，依托国家信用，通过发行金融债引导社会资金投向“三农”领</w:t>
      </w:r>
      <w:r>
        <w:rPr>
          <w:rFonts w:ascii="华文楷体" w:eastAsia="华文楷体" w:hAnsi="华文楷体" w:hint="eastAsia"/>
        </w:rPr>
        <w:t>域和实体经济。坚持优惠支农、让利于农。</w:t>
      </w:r>
    </w:p>
    <w:p w14:paraId="36B141A3" w14:textId="77777777" w:rsidR="00ED5EBF" w:rsidRDefault="00ED5EBF">
      <w:pPr>
        <w:spacing w:line="360" w:lineRule="auto"/>
        <w:ind w:right="357" w:firstLineChars="200" w:firstLine="480"/>
        <w:jc w:val="left"/>
        <w:rPr>
          <w:rFonts w:ascii="华文楷体" w:eastAsia="华文楷体" w:hAnsi="华文楷体"/>
        </w:rPr>
      </w:pPr>
    </w:p>
    <w:p w14:paraId="492FDAB0"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那么，如何平衡防控金融风险和支持实体经济之间的关系？</w:t>
      </w:r>
    </w:p>
    <w:p w14:paraId="4BE56EEC" w14:textId="77777777" w:rsidR="00ED5EBF" w:rsidRDefault="00ED5EBF">
      <w:pPr>
        <w:spacing w:line="360" w:lineRule="auto"/>
        <w:ind w:right="357" w:firstLineChars="200" w:firstLine="480"/>
        <w:jc w:val="left"/>
        <w:rPr>
          <w:rFonts w:ascii="华文楷体" w:eastAsia="华文楷体" w:hAnsi="华文楷体"/>
        </w:rPr>
      </w:pPr>
    </w:p>
    <w:p w14:paraId="3BDD3D89"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这确实是一个比较难处理的关系，我们说防范金融风险，并不是放弃或放松对实体经济的支持力度。”全国政协委员、中央财经领导小组办公室副主任杨伟民认为，防风险和服务实体经济是金融业发展的两方面，要把握好这一关系的度。</w:t>
      </w:r>
    </w:p>
    <w:p w14:paraId="318E7687" w14:textId="77777777" w:rsidR="00ED5EBF" w:rsidRDefault="00ED5EBF">
      <w:pPr>
        <w:spacing w:line="360" w:lineRule="auto"/>
        <w:ind w:right="357" w:firstLineChars="200" w:firstLine="480"/>
        <w:jc w:val="left"/>
        <w:rPr>
          <w:rFonts w:ascii="华文楷体" w:eastAsia="华文楷体" w:hAnsi="华文楷体"/>
        </w:rPr>
      </w:pPr>
    </w:p>
    <w:p w14:paraId="4165F701"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“只有把防范金融风险这件事做好了，金融机构才能更加聚焦、聚力支持实体经济。”全国政协委员、中国进出口银行董事长胡晓炼认为。</w:t>
      </w:r>
    </w:p>
    <w:p w14:paraId="7FC1B2A8" w14:textId="77777777" w:rsidR="00ED5EBF" w:rsidRDefault="00ED5EBF">
      <w:pPr>
        <w:spacing w:line="360" w:lineRule="auto"/>
        <w:ind w:right="357" w:firstLineChars="200" w:firstLine="480"/>
        <w:jc w:val="left"/>
        <w:rPr>
          <w:rFonts w:ascii="华文楷体" w:eastAsia="华文楷体" w:hAnsi="华文楷体"/>
        </w:rPr>
      </w:pPr>
    </w:p>
    <w:p w14:paraId="44EFDA4E"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防范金融风险和发展实体经济，两个工作做好的话，是相辅相成、互相促进的。”胡晓炼表示，社会需要充分认识到，现在加强金融监管非常必要。把金融风险防控住了，金融监管加强了，金融才能够对实体经济更好发展作出更大贡献。</w:t>
      </w:r>
    </w:p>
    <w:p w14:paraId="4096C52B" w14:textId="77777777" w:rsidR="00ED5EBF" w:rsidRDefault="00ED5EBF">
      <w:pPr>
        <w:spacing w:line="360" w:lineRule="auto"/>
        <w:ind w:right="357" w:firstLineChars="200" w:firstLine="480"/>
        <w:jc w:val="left"/>
        <w:rPr>
          <w:rFonts w:ascii="华文楷体" w:eastAsia="华文楷体" w:hAnsi="华文楷体"/>
        </w:rPr>
      </w:pPr>
    </w:p>
    <w:p w14:paraId="7316CC7F"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如何为实体经济减负</w:t>
      </w:r>
    </w:p>
    <w:p w14:paraId="4CB02816" w14:textId="77777777" w:rsidR="00ED5EBF" w:rsidRDefault="00ED5EBF">
      <w:pPr>
        <w:spacing w:line="360" w:lineRule="auto"/>
        <w:ind w:right="357" w:firstLineChars="200" w:firstLine="480"/>
        <w:jc w:val="left"/>
        <w:rPr>
          <w:rFonts w:ascii="华文楷体" w:eastAsia="华文楷体" w:hAnsi="华文楷体"/>
        </w:rPr>
      </w:pPr>
    </w:p>
    <w:p w14:paraId="1CFEA8E3"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推进高质量发展，如何为实体经济减税降费也备受关注。</w:t>
      </w:r>
    </w:p>
    <w:p w14:paraId="70A1DE95" w14:textId="77777777" w:rsidR="00ED5EBF" w:rsidRDefault="00ED5EBF">
      <w:pPr>
        <w:spacing w:line="360" w:lineRule="auto"/>
        <w:ind w:right="357" w:firstLineChars="200" w:firstLine="480"/>
        <w:jc w:val="left"/>
        <w:rPr>
          <w:rFonts w:ascii="华文楷体" w:eastAsia="华文楷体" w:hAnsi="华文楷体"/>
        </w:rPr>
      </w:pPr>
    </w:p>
    <w:p w14:paraId="0CE4FD55"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事实上，近年来我国政府一直大力推动企业减税降费。比如，全面推开营改增试点</w:t>
      </w:r>
      <w:r>
        <w:rPr>
          <w:rFonts w:ascii="华文楷体" w:eastAsia="华文楷体" w:hAnsi="华文楷体" w:hint="eastAsia"/>
        </w:rPr>
        <w:t>,</w:t>
      </w:r>
      <w:r>
        <w:rPr>
          <w:rFonts w:ascii="华文楷体" w:eastAsia="华文楷体" w:hAnsi="华文楷体" w:hint="eastAsia"/>
        </w:rPr>
        <w:t>全面清理企业收费等。然而，有部分企业仍反映税负较重。</w:t>
      </w:r>
    </w:p>
    <w:p w14:paraId="47D75B74" w14:textId="77777777" w:rsidR="00ED5EBF" w:rsidRDefault="00ED5EBF">
      <w:pPr>
        <w:spacing w:line="360" w:lineRule="auto"/>
        <w:ind w:right="357" w:firstLineChars="200" w:firstLine="480"/>
        <w:jc w:val="left"/>
        <w:rPr>
          <w:rFonts w:ascii="华文楷体" w:eastAsia="华文楷体" w:hAnsi="华文楷体"/>
        </w:rPr>
      </w:pPr>
    </w:p>
    <w:p w14:paraId="2BDC461C"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“造成此类现象最重要的原因是我国的税收构成以间接税为主。”全国政协委员、广东正中珠江会计师事</w:t>
      </w:r>
      <w:r>
        <w:rPr>
          <w:rFonts w:ascii="华文楷体" w:eastAsia="华文楷体" w:hAnsi="华文楷体" w:hint="eastAsia"/>
        </w:rPr>
        <w:t>务所首席合伙人蒋洪峰认为，间接税以票控税，产品相关成本凭借合法票据进行抵扣。然而，当下许多新型行业的成本已从物品变成人力，人力成本往往没有票据可以抵扣，这就给个人和企业造成了沉重负担。</w:t>
      </w:r>
    </w:p>
    <w:p w14:paraId="3C7A7943" w14:textId="77777777" w:rsidR="00ED5EBF" w:rsidRDefault="00ED5EBF">
      <w:pPr>
        <w:spacing w:line="360" w:lineRule="auto"/>
        <w:ind w:right="357" w:firstLineChars="200" w:firstLine="480"/>
        <w:jc w:val="left"/>
        <w:rPr>
          <w:rFonts w:ascii="华文楷体" w:eastAsia="华文楷体" w:hAnsi="华文楷体"/>
        </w:rPr>
      </w:pPr>
    </w:p>
    <w:p w14:paraId="418AD80E"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蒋洪峰建议，对人力成本占比大却无法抵扣的企业，可以考虑用企业代扣代缴的个税作为抵扣基础，给予一定的扣除比例；还可以推出企业工资、社保成本等占总成本比例累进增值税抵扣政策，以适应经济社会发展需要。此外，还可以考虑将小规模纳税人税收起征点再适当提高，在个人所得税方面进一步促进税负公平。</w:t>
      </w:r>
    </w:p>
    <w:p w14:paraId="068F6D54" w14:textId="77777777" w:rsidR="00ED5EBF" w:rsidRDefault="00ED5EBF">
      <w:pPr>
        <w:spacing w:line="360" w:lineRule="auto"/>
        <w:ind w:right="357" w:firstLineChars="200" w:firstLine="480"/>
        <w:jc w:val="left"/>
        <w:rPr>
          <w:rFonts w:ascii="华文楷体" w:eastAsia="华文楷体" w:hAnsi="华文楷体"/>
        </w:rPr>
      </w:pPr>
    </w:p>
    <w:p w14:paraId="4761D3A2"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全国政协委员、南京大学经济学系主任杨德</w:t>
      </w:r>
      <w:r>
        <w:rPr>
          <w:rFonts w:ascii="华文楷体" w:eastAsia="华文楷体" w:hAnsi="华文楷体" w:hint="eastAsia"/>
        </w:rPr>
        <w:t>才表示，要继续做好清费降费税改和减税的工作，给企业减负，同时要严格按照已制定的清单管理。</w:t>
      </w:r>
    </w:p>
    <w:p w14:paraId="0F00B676" w14:textId="77777777" w:rsidR="00ED5EBF" w:rsidRDefault="00ED5EBF">
      <w:pPr>
        <w:spacing w:line="360" w:lineRule="auto"/>
        <w:ind w:right="357" w:firstLineChars="200" w:firstLine="480"/>
        <w:jc w:val="left"/>
        <w:rPr>
          <w:rFonts w:ascii="华文楷体" w:eastAsia="华文楷体" w:hAnsi="华文楷体"/>
        </w:rPr>
      </w:pPr>
    </w:p>
    <w:p w14:paraId="296480B8"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3</w:t>
      </w:r>
      <w:r>
        <w:rPr>
          <w:rFonts w:ascii="华文楷体" w:eastAsia="华文楷体" w:hAnsi="华文楷体" w:hint="eastAsia"/>
        </w:rPr>
        <w:t>月</w:t>
      </w:r>
      <w:r>
        <w:rPr>
          <w:rFonts w:ascii="华文楷体" w:eastAsia="华文楷体" w:hAnsi="华文楷体" w:hint="eastAsia"/>
        </w:rPr>
        <w:t>12</w:t>
      </w:r>
      <w:r>
        <w:rPr>
          <w:rFonts w:ascii="华文楷体" w:eastAsia="华文楷体" w:hAnsi="华文楷体" w:hint="eastAsia"/>
        </w:rPr>
        <w:t>日，国家税务总局总会计师王陆进在列席政协经济界别小组讨论会时，对委员们提出的问题做了回答。他表示，减税降费方面的措施在政府工作报告中都已提及，关键是如何让这些措施落实，并且在落实中把政策细化。“更重要的是，政策出来后，如何方便及时地让大家享受到位，我们也会在制定具体征管措施方面广泛听取意见。在落实过程中也欢迎大家监督。”</w:t>
      </w:r>
    </w:p>
    <w:p w14:paraId="0FAAE0FF" w14:textId="77777777" w:rsidR="00ED5EBF" w:rsidRDefault="00ED5EBF">
      <w:pPr>
        <w:spacing w:line="360" w:lineRule="auto"/>
        <w:ind w:right="357" w:firstLineChars="200" w:firstLine="480"/>
        <w:jc w:val="left"/>
        <w:rPr>
          <w:rFonts w:ascii="华文楷体" w:eastAsia="华文楷体" w:hAnsi="华文楷体"/>
        </w:rPr>
      </w:pPr>
    </w:p>
    <w:p w14:paraId="29865B6C"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国家发改委社会发展司副司长刘宇南在列席会议时表示，发改委将以市场主体的期待和诉求为导向</w:t>
      </w:r>
      <w:r>
        <w:rPr>
          <w:rFonts w:ascii="华文楷体" w:eastAsia="华文楷体" w:hAnsi="华文楷体" w:hint="eastAsia"/>
        </w:rPr>
        <w:t>，以简政减税降负为重点，优化营商环境。大幅度精简企业开办、纳税、施工等事项审批，进一步清理、取消经营服务性收费和行业协会、商会收费等。</w:t>
      </w:r>
    </w:p>
    <w:p w14:paraId="226E0E56" w14:textId="77777777" w:rsidR="00ED5EBF" w:rsidRDefault="00ED5EBF">
      <w:pPr>
        <w:spacing w:line="360" w:lineRule="auto"/>
        <w:ind w:right="357" w:firstLineChars="200" w:firstLine="480"/>
        <w:jc w:val="left"/>
        <w:rPr>
          <w:rFonts w:ascii="华文楷体" w:eastAsia="华文楷体" w:hAnsi="华文楷体"/>
        </w:rPr>
      </w:pPr>
    </w:p>
    <w:p w14:paraId="7328B362" w14:textId="77777777" w:rsidR="00ED5EBF" w:rsidRDefault="00ED5EBF">
      <w:pPr>
        <w:spacing w:line="360" w:lineRule="auto"/>
        <w:ind w:right="357" w:firstLineChars="200" w:firstLine="480"/>
        <w:jc w:val="left"/>
        <w:rPr>
          <w:rFonts w:ascii="华文楷体" w:eastAsia="华文楷体" w:hAnsi="华文楷体"/>
        </w:rPr>
      </w:pPr>
    </w:p>
    <w:p w14:paraId="7B76B501" w14:textId="77777777" w:rsidR="00ED5EBF" w:rsidRDefault="002034C8">
      <w:pPr>
        <w:spacing w:line="360" w:lineRule="auto"/>
        <w:ind w:right="357" w:firstLineChars="200" w:firstLine="480"/>
        <w:jc w:val="center"/>
        <w:rPr>
          <w:rFonts w:ascii="华文中宋" w:eastAsia="华文中宋" w:hAnsi="华文中宋" w:cs="华文中宋"/>
          <w:b/>
        </w:rPr>
      </w:pPr>
      <w:bookmarkStart w:id="41" w:name="强抓内控兴业银行北京分行打造合规运营新标杆"/>
      <w:r>
        <w:rPr>
          <w:rFonts w:ascii="华文中宋" w:eastAsia="华文中宋" w:hAnsi="华文中宋" w:cs="华文中宋" w:hint="eastAsia"/>
          <w:b/>
        </w:rPr>
        <w:t>强抓内控</w:t>
      </w:r>
      <w:r>
        <w:rPr>
          <w:rFonts w:ascii="华文中宋" w:eastAsia="华文中宋" w:hAnsi="华文中宋" w:cs="华文中宋" w:hint="eastAsia"/>
          <w:b/>
        </w:rPr>
        <w:t xml:space="preserve"> </w:t>
      </w:r>
      <w:r>
        <w:rPr>
          <w:rFonts w:ascii="华文中宋" w:eastAsia="华文中宋" w:hAnsi="华文中宋" w:cs="华文中宋" w:hint="eastAsia"/>
          <w:b/>
        </w:rPr>
        <w:t>兴业银行北京分行打造合规运营新标杆</w:t>
      </w:r>
      <w:bookmarkEnd w:id="41"/>
    </w:p>
    <w:p w14:paraId="140AD1B1" w14:textId="77777777" w:rsidR="00ED5EBF" w:rsidRDefault="002034C8">
      <w:pPr>
        <w:spacing w:line="360" w:lineRule="auto"/>
        <w:ind w:right="357" w:firstLineChars="200" w:firstLine="480"/>
        <w:jc w:val="center"/>
        <w:rPr>
          <w:rFonts w:ascii="华文楷体" w:eastAsia="华文楷体" w:hAnsi="华文楷体"/>
          <w:szCs w:val="21"/>
        </w:rPr>
      </w:pPr>
      <w:r>
        <w:rPr>
          <w:rFonts w:ascii="华文楷体" w:eastAsia="华文楷体" w:hAnsi="华文楷体" w:hint="eastAsia"/>
          <w:szCs w:val="21"/>
        </w:rPr>
        <w:t>时间：</w:t>
      </w:r>
      <w:r>
        <w:rPr>
          <w:rFonts w:ascii="华文楷体" w:eastAsia="华文楷体" w:hAnsi="华文楷体" w:hint="eastAsia"/>
          <w:szCs w:val="21"/>
        </w:rPr>
        <w:t xml:space="preserve">2018-03-16  </w:t>
      </w:r>
      <w:r>
        <w:rPr>
          <w:rFonts w:ascii="华文楷体" w:eastAsia="华文楷体" w:hAnsi="华文楷体" w:hint="eastAsia"/>
          <w:szCs w:val="21"/>
        </w:rPr>
        <w:t>来源：经济参考报</w:t>
      </w:r>
    </w:p>
    <w:p w14:paraId="7E1B1D2F" w14:textId="77777777" w:rsidR="00ED5EBF" w:rsidRDefault="00ED5EBF">
      <w:pPr>
        <w:spacing w:line="360" w:lineRule="auto"/>
        <w:ind w:right="357"/>
        <w:jc w:val="left"/>
        <w:rPr>
          <w:rFonts w:ascii="华文楷体" w:eastAsia="华文楷体" w:hAnsi="华文楷体"/>
        </w:rPr>
      </w:pPr>
    </w:p>
    <w:p w14:paraId="713B8284"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依法合规经营是防范金融系统性风险的必然要求，更是银行生存和发展的根基。兴业银行北京分行在总行的领导下，全面开启“兴航程”内控合规建设，深入开展“四个专项治理”、突击“啄木鸟”等排查活动，通过合规激励与违规惩处齐抓、个别问题整治与系统性缺陷查纠并举，逐步在全分行范围内形成了人人</w:t>
      </w:r>
      <w:r>
        <w:rPr>
          <w:rFonts w:ascii="华文楷体" w:eastAsia="华文楷体" w:hAnsi="华文楷体" w:hint="eastAsia"/>
        </w:rPr>
        <w:t>合规、主动合规的良好工作氛围。</w:t>
      </w:r>
    </w:p>
    <w:p w14:paraId="130AF845" w14:textId="77777777" w:rsidR="00ED5EBF" w:rsidRDefault="00ED5EBF">
      <w:pPr>
        <w:spacing w:line="360" w:lineRule="auto"/>
        <w:ind w:right="357" w:firstLineChars="200" w:firstLine="480"/>
        <w:jc w:val="left"/>
        <w:rPr>
          <w:rFonts w:ascii="华文楷体" w:eastAsia="华文楷体" w:hAnsi="华文楷体"/>
        </w:rPr>
      </w:pPr>
    </w:p>
    <w:p w14:paraId="26E31B5A"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兴业银行北京分行为进一步落实“合规致胜”发展战略，于</w:t>
      </w:r>
      <w:r>
        <w:rPr>
          <w:rFonts w:ascii="华文楷体" w:eastAsia="华文楷体" w:hAnsi="华文楷体" w:hint="eastAsia"/>
        </w:rPr>
        <w:t>2017</w:t>
      </w:r>
      <w:r>
        <w:rPr>
          <w:rFonts w:ascii="华文楷体" w:eastAsia="华文楷体" w:hAnsi="华文楷体" w:hint="eastAsia"/>
        </w:rPr>
        <w:t>年启动了“兴航程”合规内控提升年活动。通过制度管理“找缺陷、提建议、强执行”等专项活动，</w:t>
      </w:r>
      <w:r>
        <w:rPr>
          <w:rFonts w:ascii="华文楷体" w:eastAsia="华文楷体" w:hAnsi="华文楷体" w:hint="eastAsia"/>
        </w:rPr>
        <w:t xml:space="preserve"> 2017</w:t>
      </w:r>
      <w:r>
        <w:rPr>
          <w:rFonts w:ascii="华文楷体" w:eastAsia="华文楷体" w:hAnsi="华文楷体" w:hint="eastAsia"/>
        </w:rPr>
        <w:t>年共对</w:t>
      </w:r>
      <w:r>
        <w:rPr>
          <w:rFonts w:ascii="华文楷体" w:eastAsia="华文楷体" w:hAnsi="华文楷体" w:hint="eastAsia"/>
        </w:rPr>
        <w:t>557</w:t>
      </w:r>
      <w:r>
        <w:rPr>
          <w:rFonts w:ascii="华文楷体" w:eastAsia="华文楷体" w:hAnsi="华文楷体" w:hint="eastAsia"/>
        </w:rPr>
        <w:t>件制度进行了重检，有效弥补了制度漏洞，提高了制度体系的有效性、完整性、可操作性，夯实了“有章可循、有章必循”的内控基础。</w:t>
      </w:r>
    </w:p>
    <w:p w14:paraId="719D0C95" w14:textId="77777777" w:rsidR="00ED5EBF" w:rsidRDefault="00ED5EBF">
      <w:pPr>
        <w:spacing w:line="360" w:lineRule="auto"/>
        <w:ind w:right="357" w:firstLineChars="200" w:firstLine="480"/>
        <w:jc w:val="left"/>
        <w:rPr>
          <w:rFonts w:ascii="华文楷体" w:eastAsia="华文楷体" w:hAnsi="华文楷体"/>
        </w:rPr>
      </w:pPr>
    </w:p>
    <w:p w14:paraId="30F89582"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此外，对于行业新政，兴业银行北京分行也加强了解读研判，及时将外部最新监管政策文件、法律法规、重要会议精神以及行政处罚事项等向分行全辖传递。</w:t>
      </w:r>
    </w:p>
    <w:p w14:paraId="4B8C6CED" w14:textId="77777777" w:rsidR="00ED5EBF" w:rsidRDefault="00ED5EBF">
      <w:pPr>
        <w:spacing w:line="360" w:lineRule="auto"/>
        <w:ind w:right="357" w:firstLineChars="200" w:firstLine="480"/>
        <w:jc w:val="left"/>
        <w:rPr>
          <w:rFonts w:ascii="华文楷体" w:eastAsia="华文楷体" w:hAnsi="华文楷体"/>
        </w:rPr>
      </w:pPr>
    </w:p>
    <w:p w14:paraId="653B8BA0"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在备受关注的“监管科技”方面，兴业银行北京分行综合利用员工异常行为监测模型数据及监控预警系统，深入开展员工异常行为监测，已经成为兴业银行北京分行合规管理的一大‘利刃’。</w:t>
      </w:r>
    </w:p>
    <w:p w14:paraId="38685690" w14:textId="77777777" w:rsidR="00ED5EBF" w:rsidRDefault="00ED5EBF">
      <w:pPr>
        <w:spacing w:line="360" w:lineRule="auto"/>
        <w:ind w:right="357" w:firstLineChars="200" w:firstLine="480"/>
        <w:jc w:val="left"/>
        <w:rPr>
          <w:rFonts w:ascii="华文楷体" w:eastAsia="华文楷体" w:hAnsi="华文楷体"/>
        </w:rPr>
      </w:pPr>
    </w:p>
    <w:p w14:paraId="15CD9933"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据悉，兴业银行北京分行目前正致力于优化分行特色化的操作风险预警平台，充分利用大数据监测分析模式，强化业务系统数据联动、监控，完善业务数据管理模块功能，推进标准化数据积累，不断提高风险监控预测能力及合规内控风险锁定的精准度，提升分行内控管理标准化、全流程、前瞻性水平。</w:t>
      </w:r>
    </w:p>
    <w:p w14:paraId="0B7AE690" w14:textId="77777777" w:rsidR="00ED5EBF" w:rsidRDefault="00ED5EBF">
      <w:pPr>
        <w:spacing w:line="360" w:lineRule="auto"/>
        <w:ind w:right="357" w:firstLineChars="200" w:firstLine="480"/>
        <w:jc w:val="left"/>
        <w:rPr>
          <w:rFonts w:ascii="华文楷体" w:eastAsia="华文楷体" w:hAnsi="华文楷体"/>
        </w:rPr>
      </w:pPr>
    </w:p>
    <w:p w14:paraId="04EBDC29"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2018</w:t>
      </w:r>
      <w:r>
        <w:rPr>
          <w:rFonts w:ascii="华文楷体" w:eastAsia="华文楷体" w:hAnsi="华文楷体" w:hint="eastAsia"/>
        </w:rPr>
        <w:t>年，兴业银行北京分行将进一步践行“合规致胜、专业致胜、效率致胜”理念，以“打造北京特色品牌，争创一流分行”为目标，进一步组织“兴航程”合规内控深化年活动，，有效防控重点风险，为各项业务稳健发展保驾护航。</w:t>
      </w:r>
    </w:p>
    <w:p w14:paraId="6769CD0F" w14:textId="77777777" w:rsidR="00ED5EBF" w:rsidRDefault="00ED5EBF">
      <w:pPr>
        <w:spacing w:line="360" w:lineRule="auto"/>
        <w:ind w:right="357" w:firstLineChars="200" w:firstLine="480"/>
        <w:jc w:val="left"/>
        <w:rPr>
          <w:rFonts w:ascii="华文楷体" w:eastAsia="华文楷体" w:hAnsi="华文楷体"/>
        </w:rPr>
      </w:pPr>
    </w:p>
    <w:p w14:paraId="60ECB32E" w14:textId="77777777" w:rsidR="00ED5EBF" w:rsidRDefault="00ED5EBF">
      <w:pPr>
        <w:spacing w:line="360" w:lineRule="auto"/>
        <w:ind w:right="357" w:firstLineChars="200" w:firstLine="480"/>
        <w:jc w:val="left"/>
        <w:rPr>
          <w:rFonts w:ascii="华文楷体" w:eastAsia="华文楷体" w:hAnsi="华文楷体"/>
        </w:rPr>
      </w:pPr>
    </w:p>
    <w:p w14:paraId="73A2D9C7" w14:textId="77777777" w:rsidR="00ED5EBF" w:rsidRDefault="00ED5EBF">
      <w:pPr>
        <w:spacing w:line="360" w:lineRule="auto"/>
        <w:ind w:right="357" w:firstLineChars="200" w:firstLine="480"/>
        <w:jc w:val="left"/>
        <w:rPr>
          <w:rFonts w:ascii="华文楷体" w:eastAsia="华文楷体" w:hAnsi="华文楷体"/>
        </w:rPr>
      </w:pPr>
    </w:p>
    <w:p w14:paraId="4989A0FA" w14:textId="77777777" w:rsidR="00ED5EBF" w:rsidRDefault="00ED5EBF">
      <w:pPr>
        <w:spacing w:line="360" w:lineRule="auto"/>
        <w:ind w:right="357" w:firstLineChars="200" w:firstLine="480"/>
        <w:jc w:val="left"/>
        <w:rPr>
          <w:rFonts w:ascii="华文楷体" w:eastAsia="华文楷体" w:hAnsi="华文楷体"/>
        </w:rPr>
      </w:pPr>
    </w:p>
    <w:p w14:paraId="3FF1700F" w14:textId="77777777" w:rsidR="00ED5EBF" w:rsidRDefault="00ED5EBF">
      <w:pPr>
        <w:spacing w:line="360" w:lineRule="auto"/>
        <w:ind w:right="357" w:firstLineChars="200" w:firstLine="480"/>
        <w:jc w:val="left"/>
        <w:rPr>
          <w:rFonts w:ascii="华文楷体" w:eastAsia="华文楷体" w:hAnsi="华文楷体"/>
        </w:rPr>
      </w:pPr>
    </w:p>
    <w:p w14:paraId="2C64D61A" w14:textId="77777777" w:rsidR="00ED5EBF" w:rsidRDefault="00ED5EBF">
      <w:pPr>
        <w:spacing w:line="360" w:lineRule="auto"/>
        <w:ind w:right="357" w:firstLineChars="200" w:firstLine="480"/>
        <w:jc w:val="left"/>
        <w:rPr>
          <w:rFonts w:ascii="华文楷体" w:eastAsia="华文楷体" w:hAnsi="华文楷体"/>
        </w:rPr>
      </w:pPr>
    </w:p>
    <w:p w14:paraId="33767771" w14:textId="77777777" w:rsidR="00ED5EBF" w:rsidRDefault="00ED5EBF">
      <w:pPr>
        <w:spacing w:line="360" w:lineRule="auto"/>
        <w:ind w:right="357" w:firstLineChars="200" w:firstLine="480"/>
        <w:jc w:val="left"/>
        <w:rPr>
          <w:rFonts w:ascii="华文楷体" w:eastAsia="华文楷体" w:hAnsi="华文楷体"/>
        </w:rPr>
      </w:pPr>
    </w:p>
    <w:p w14:paraId="62D0F547" w14:textId="77777777" w:rsidR="00ED5EBF" w:rsidRDefault="00ED5EBF">
      <w:pPr>
        <w:spacing w:line="360" w:lineRule="auto"/>
        <w:ind w:right="357" w:firstLineChars="200" w:firstLine="480"/>
        <w:jc w:val="left"/>
        <w:rPr>
          <w:rFonts w:ascii="华文楷体" w:eastAsia="华文楷体" w:hAnsi="华文楷体"/>
        </w:rPr>
      </w:pPr>
    </w:p>
    <w:p w14:paraId="055E8CB9" w14:textId="77777777" w:rsidR="00ED5EBF" w:rsidRDefault="00ED5EBF">
      <w:pPr>
        <w:spacing w:line="360" w:lineRule="auto"/>
        <w:ind w:right="357" w:firstLineChars="200" w:firstLine="480"/>
        <w:jc w:val="left"/>
        <w:rPr>
          <w:rFonts w:ascii="华文楷体" w:eastAsia="华文楷体" w:hAnsi="华文楷体"/>
        </w:rPr>
      </w:pPr>
    </w:p>
    <w:p w14:paraId="17494637" w14:textId="77777777" w:rsidR="00ED5EBF" w:rsidRDefault="00ED5EBF">
      <w:pPr>
        <w:spacing w:line="360" w:lineRule="auto"/>
        <w:ind w:right="357" w:firstLineChars="200" w:firstLine="480"/>
        <w:jc w:val="left"/>
        <w:rPr>
          <w:rFonts w:ascii="华文楷体" w:eastAsia="华文楷体" w:hAnsi="华文楷体"/>
        </w:rPr>
      </w:pPr>
    </w:p>
    <w:p w14:paraId="71175783" w14:textId="77777777" w:rsidR="00ED5EBF" w:rsidRDefault="00ED5EBF">
      <w:pPr>
        <w:spacing w:line="360" w:lineRule="auto"/>
        <w:ind w:right="357" w:firstLineChars="200" w:firstLine="480"/>
        <w:jc w:val="left"/>
        <w:rPr>
          <w:rFonts w:ascii="华文楷体" w:eastAsia="华文楷体" w:hAnsi="华文楷体"/>
        </w:rPr>
      </w:pPr>
    </w:p>
    <w:p w14:paraId="27852AE3" w14:textId="77777777" w:rsidR="00ED5EBF" w:rsidRDefault="002034C8">
      <w:pPr>
        <w:spacing w:line="360" w:lineRule="auto"/>
        <w:ind w:right="357" w:firstLineChars="200" w:firstLine="480"/>
        <w:jc w:val="center"/>
        <w:rPr>
          <w:rFonts w:ascii="华文中宋" w:eastAsia="华文中宋" w:hAnsi="华文中宋" w:cs="华文中宋"/>
          <w:b/>
        </w:rPr>
      </w:pPr>
      <w:bookmarkStart w:id="42" w:name="智能化成银行业发展趋势"/>
      <w:r>
        <w:rPr>
          <w:rFonts w:ascii="华文中宋" w:eastAsia="华文中宋" w:hAnsi="华文中宋" w:cs="华文中宋" w:hint="eastAsia"/>
          <w:b/>
        </w:rPr>
        <w:t>智能化成银行业发展趋势</w:t>
      </w:r>
      <w:bookmarkEnd w:id="42"/>
    </w:p>
    <w:p w14:paraId="3ACB0854" w14:textId="77777777" w:rsidR="00ED5EBF" w:rsidRDefault="002034C8">
      <w:pPr>
        <w:spacing w:line="360" w:lineRule="auto"/>
        <w:ind w:right="357" w:firstLineChars="200" w:firstLine="480"/>
        <w:jc w:val="center"/>
        <w:rPr>
          <w:rFonts w:ascii="华文楷体" w:eastAsia="华文楷体" w:hAnsi="华文楷体"/>
          <w:szCs w:val="21"/>
        </w:rPr>
      </w:pPr>
      <w:r>
        <w:rPr>
          <w:rFonts w:ascii="华文楷体" w:eastAsia="华文楷体" w:hAnsi="华文楷体" w:hint="eastAsia"/>
          <w:szCs w:val="21"/>
        </w:rPr>
        <w:t>时间：</w:t>
      </w:r>
      <w:r>
        <w:rPr>
          <w:rFonts w:ascii="华文楷体" w:eastAsia="华文楷体" w:hAnsi="华文楷体" w:hint="eastAsia"/>
          <w:szCs w:val="21"/>
        </w:rPr>
        <w:t xml:space="preserve">2018-03-16  </w:t>
      </w:r>
      <w:r>
        <w:rPr>
          <w:rFonts w:ascii="华文楷体" w:eastAsia="华文楷体" w:hAnsi="华文楷体" w:hint="eastAsia"/>
          <w:szCs w:val="21"/>
        </w:rPr>
        <w:t>来源：经济参考报</w:t>
      </w:r>
    </w:p>
    <w:p w14:paraId="1A0B4B65" w14:textId="77777777" w:rsidR="00ED5EBF" w:rsidRDefault="00ED5EBF">
      <w:pPr>
        <w:spacing w:line="360" w:lineRule="auto"/>
        <w:ind w:right="357"/>
        <w:jc w:val="left"/>
        <w:rPr>
          <w:rFonts w:ascii="华文楷体" w:eastAsia="华文楷体" w:hAnsi="华文楷体"/>
        </w:rPr>
      </w:pPr>
    </w:p>
    <w:p w14:paraId="3E58231B"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中国银行业协会</w:t>
      </w:r>
      <w:r>
        <w:rPr>
          <w:rFonts w:ascii="华文楷体" w:eastAsia="华文楷体" w:hAnsi="华文楷体" w:hint="eastAsia"/>
        </w:rPr>
        <w:t>3</w:t>
      </w:r>
      <w:r>
        <w:rPr>
          <w:rFonts w:ascii="华文楷体" w:eastAsia="华文楷体" w:hAnsi="华文楷体" w:hint="eastAsia"/>
        </w:rPr>
        <w:t>月</w:t>
      </w:r>
      <w:r>
        <w:rPr>
          <w:rFonts w:ascii="华文楷体" w:eastAsia="华文楷体" w:hAnsi="华文楷体" w:hint="eastAsia"/>
        </w:rPr>
        <w:t>15</w:t>
      </w:r>
      <w:r>
        <w:rPr>
          <w:rFonts w:ascii="华文楷体" w:eastAsia="华文楷体" w:hAnsi="华文楷体" w:hint="eastAsia"/>
        </w:rPr>
        <w:t>日正式对外发布《</w:t>
      </w:r>
      <w:r>
        <w:rPr>
          <w:rFonts w:ascii="华文楷体" w:eastAsia="华文楷体" w:hAnsi="华文楷体" w:hint="eastAsia"/>
        </w:rPr>
        <w:t>2017</w:t>
      </w:r>
      <w:r>
        <w:rPr>
          <w:rFonts w:ascii="华文楷体" w:eastAsia="华文楷体" w:hAnsi="华文楷体" w:hint="eastAsia"/>
        </w:rPr>
        <w:t>年中国银行业服务报告》</w:t>
      </w:r>
      <w:r>
        <w:rPr>
          <w:rFonts w:ascii="华文楷体" w:eastAsia="华文楷体" w:hAnsi="华文楷体" w:hint="eastAsia"/>
        </w:rPr>
        <w:t>(</w:t>
      </w:r>
      <w:r>
        <w:rPr>
          <w:rFonts w:ascii="华文楷体" w:eastAsia="华文楷体" w:hAnsi="华文楷体" w:hint="eastAsia"/>
        </w:rPr>
        <w:t>以下简称《报告》</w:t>
      </w:r>
      <w:r>
        <w:rPr>
          <w:rFonts w:ascii="华文楷体" w:eastAsia="华文楷体" w:hAnsi="华文楷体" w:hint="eastAsia"/>
        </w:rPr>
        <w:t>)</w:t>
      </w:r>
      <w:r>
        <w:rPr>
          <w:rFonts w:ascii="华文楷体" w:eastAsia="华文楷体" w:hAnsi="华文楷体" w:hint="eastAsia"/>
        </w:rPr>
        <w:t>，从服务体制建设、渠道整合、流程优化、产品创新等多方面回顾</w:t>
      </w:r>
      <w:r>
        <w:rPr>
          <w:rFonts w:ascii="华文楷体" w:eastAsia="华文楷体" w:hAnsi="华文楷体" w:hint="eastAsia"/>
        </w:rPr>
        <w:t>2017</w:t>
      </w:r>
      <w:r>
        <w:rPr>
          <w:rFonts w:ascii="华文楷体" w:eastAsia="华文楷体" w:hAnsi="华文楷体" w:hint="eastAsia"/>
        </w:rPr>
        <w:t>年银行业服务改进工作的新成效。《报告》显示，“轻型化、智能化、特色化、社区化”已成为各银行网点发展趋势。</w:t>
      </w:r>
    </w:p>
    <w:p w14:paraId="56478C3D" w14:textId="77777777" w:rsidR="00ED5EBF" w:rsidRDefault="00ED5EBF">
      <w:pPr>
        <w:spacing w:line="360" w:lineRule="auto"/>
        <w:ind w:right="357" w:firstLineChars="200" w:firstLine="480"/>
        <w:jc w:val="left"/>
        <w:rPr>
          <w:rFonts w:ascii="华文楷体" w:eastAsia="华文楷体" w:hAnsi="华文楷体"/>
        </w:rPr>
      </w:pPr>
    </w:p>
    <w:p w14:paraId="11DBDA4D"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《报告》数据显示，截至</w:t>
      </w:r>
      <w:r>
        <w:rPr>
          <w:rFonts w:ascii="华文楷体" w:eastAsia="华文楷体" w:hAnsi="华文楷体" w:hint="eastAsia"/>
        </w:rPr>
        <w:t>2017</w:t>
      </w:r>
      <w:r>
        <w:rPr>
          <w:rFonts w:ascii="华文楷体" w:eastAsia="华文楷体" w:hAnsi="华文楷体" w:hint="eastAsia"/>
        </w:rPr>
        <w:t>年末，全国银行业金融机构营业网点总数达到</w:t>
      </w:r>
      <w:r>
        <w:rPr>
          <w:rFonts w:ascii="华文楷体" w:eastAsia="华文楷体" w:hAnsi="华文楷体" w:hint="eastAsia"/>
        </w:rPr>
        <w:t>22.87</w:t>
      </w:r>
      <w:r>
        <w:rPr>
          <w:rFonts w:ascii="华文楷体" w:eastAsia="华文楷体" w:hAnsi="华文楷体" w:hint="eastAsia"/>
        </w:rPr>
        <w:t>万个，其中新增营业网点</w:t>
      </w:r>
      <w:r>
        <w:rPr>
          <w:rFonts w:ascii="华文楷体" w:eastAsia="华文楷体" w:hAnsi="华文楷体" w:hint="eastAsia"/>
        </w:rPr>
        <w:t>800</w:t>
      </w:r>
      <w:r>
        <w:rPr>
          <w:rFonts w:ascii="华文楷体" w:eastAsia="华文楷体" w:hAnsi="华文楷体" w:hint="eastAsia"/>
        </w:rPr>
        <w:t>多个，与</w:t>
      </w:r>
      <w:r>
        <w:rPr>
          <w:rFonts w:ascii="华文楷体" w:eastAsia="华文楷体" w:hAnsi="华文楷体" w:hint="eastAsia"/>
        </w:rPr>
        <w:t>2016</w:t>
      </w:r>
      <w:r>
        <w:rPr>
          <w:rFonts w:ascii="华文楷体" w:eastAsia="华文楷体" w:hAnsi="华文楷体" w:hint="eastAsia"/>
        </w:rPr>
        <w:t>年</w:t>
      </w:r>
      <w:r>
        <w:rPr>
          <w:rFonts w:ascii="华文楷体" w:eastAsia="华文楷体" w:hAnsi="华文楷体" w:hint="eastAsia"/>
        </w:rPr>
        <w:t>3800</w:t>
      </w:r>
      <w:r>
        <w:rPr>
          <w:rFonts w:ascii="华文楷体" w:eastAsia="华文楷体" w:hAnsi="华文楷体" w:hint="eastAsia"/>
        </w:rPr>
        <w:t>多个新增营业网点相比减少近</w:t>
      </w:r>
      <w:r>
        <w:rPr>
          <w:rFonts w:ascii="华文楷体" w:eastAsia="华文楷体" w:hAnsi="华文楷体" w:hint="eastAsia"/>
        </w:rPr>
        <w:t>80%</w:t>
      </w:r>
      <w:r>
        <w:rPr>
          <w:rFonts w:ascii="华文楷体" w:eastAsia="华文楷体" w:hAnsi="华文楷体" w:hint="eastAsia"/>
        </w:rPr>
        <w:t>。与此同时，银行业布局建设自助银行</w:t>
      </w:r>
      <w:r>
        <w:rPr>
          <w:rFonts w:ascii="华文楷体" w:eastAsia="华文楷体" w:hAnsi="华文楷体" w:hint="eastAsia"/>
        </w:rPr>
        <w:t>16.84</w:t>
      </w:r>
      <w:r>
        <w:rPr>
          <w:rFonts w:ascii="华文楷体" w:eastAsia="华文楷体" w:hAnsi="华文楷体" w:hint="eastAsia"/>
        </w:rPr>
        <w:t>万家，较上年增加</w:t>
      </w:r>
      <w:r>
        <w:rPr>
          <w:rFonts w:ascii="华文楷体" w:eastAsia="华文楷体" w:hAnsi="华文楷体" w:hint="eastAsia"/>
        </w:rPr>
        <w:t>7300</w:t>
      </w:r>
      <w:r>
        <w:rPr>
          <w:rFonts w:ascii="华文楷体" w:eastAsia="华文楷体" w:hAnsi="华文楷体" w:hint="eastAsia"/>
        </w:rPr>
        <w:t>多家；布放自助设</w:t>
      </w:r>
      <w:r>
        <w:rPr>
          <w:rFonts w:ascii="华文楷体" w:eastAsia="华文楷体" w:hAnsi="华文楷体" w:hint="eastAsia"/>
        </w:rPr>
        <w:t>备</w:t>
      </w:r>
      <w:r>
        <w:rPr>
          <w:rFonts w:ascii="华文楷体" w:eastAsia="华文楷体" w:hAnsi="华文楷体" w:hint="eastAsia"/>
        </w:rPr>
        <w:t>80.26</w:t>
      </w:r>
      <w:r>
        <w:rPr>
          <w:rFonts w:ascii="华文楷体" w:eastAsia="华文楷体" w:hAnsi="华文楷体" w:hint="eastAsia"/>
        </w:rPr>
        <w:t>万台，其中创新自助设备</w:t>
      </w:r>
      <w:r>
        <w:rPr>
          <w:rFonts w:ascii="华文楷体" w:eastAsia="华文楷体" w:hAnsi="华文楷体" w:hint="eastAsia"/>
        </w:rPr>
        <w:t>11.39</w:t>
      </w:r>
      <w:r>
        <w:rPr>
          <w:rFonts w:ascii="华文楷体" w:eastAsia="华文楷体" w:hAnsi="华文楷体" w:hint="eastAsia"/>
        </w:rPr>
        <w:t>万台；自助设备交易笔数达</w:t>
      </w:r>
      <w:r>
        <w:rPr>
          <w:rFonts w:ascii="华文楷体" w:eastAsia="华文楷体" w:hAnsi="华文楷体" w:hint="eastAsia"/>
        </w:rPr>
        <w:t>400.06</w:t>
      </w:r>
      <w:r>
        <w:rPr>
          <w:rFonts w:ascii="华文楷体" w:eastAsia="华文楷体" w:hAnsi="华文楷体" w:hint="eastAsia"/>
        </w:rPr>
        <w:t>亿笔，交易总额</w:t>
      </w:r>
      <w:r>
        <w:rPr>
          <w:rFonts w:ascii="华文楷体" w:eastAsia="华文楷体" w:hAnsi="华文楷体" w:hint="eastAsia"/>
        </w:rPr>
        <w:t>66.13</w:t>
      </w:r>
      <w:r>
        <w:rPr>
          <w:rFonts w:ascii="华文楷体" w:eastAsia="华文楷体" w:hAnsi="华文楷体" w:hint="eastAsia"/>
        </w:rPr>
        <w:t>万亿元。</w:t>
      </w:r>
    </w:p>
    <w:p w14:paraId="3A528328" w14:textId="77777777" w:rsidR="00ED5EBF" w:rsidRDefault="00ED5EBF">
      <w:pPr>
        <w:spacing w:line="360" w:lineRule="auto"/>
        <w:ind w:right="357" w:firstLineChars="200" w:firstLine="480"/>
        <w:jc w:val="left"/>
        <w:rPr>
          <w:rFonts w:ascii="华文楷体" w:eastAsia="华文楷体" w:hAnsi="华文楷体"/>
        </w:rPr>
      </w:pPr>
    </w:p>
    <w:p w14:paraId="0A7E5E71"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伴随银行网点的转型，中国银行业电子渠道也不断深化创新，网上银行、手机银行业务快速增长。全年网上银行交易达</w:t>
      </w:r>
      <w:r>
        <w:rPr>
          <w:rFonts w:ascii="华文楷体" w:eastAsia="华文楷体" w:hAnsi="华文楷体" w:hint="eastAsia"/>
        </w:rPr>
        <w:t>1171.72</w:t>
      </w:r>
      <w:r>
        <w:rPr>
          <w:rFonts w:ascii="华文楷体" w:eastAsia="华文楷体" w:hAnsi="华文楷体" w:hint="eastAsia"/>
        </w:rPr>
        <w:t>亿笔，同比增长</w:t>
      </w:r>
      <w:r>
        <w:rPr>
          <w:rFonts w:ascii="华文楷体" w:eastAsia="华文楷体" w:hAnsi="华文楷体" w:hint="eastAsia"/>
        </w:rPr>
        <w:t>37.86%</w:t>
      </w:r>
      <w:r>
        <w:rPr>
          <w:rFonts w:ascii="华文楷体" w:eastAsia="华文楷体" w:hAnsi="华文楷体" w:hint="eastAsia"/>
        </w:rPr>
        <w:t>；交易金额达</w:t>
      </w:r>
      <w:r>
        <w:rPr>
          <w:rFonts w:ascii="华文楷体" w:eastAsia="华文楷体" w:hAnsi="华文楷体" w:hint="eastAsia"/>
        </w:rPr>
        <w:t>1725.38</w:t>
      </w:r>
      <w:r>
        <w:rPr>
          <w:rFonts w:ascii="华文楷体" w:eastAsia="华文楷体" w:hAnsi="华文楷体" w:hint="eastAsia"/>
        </w:rPr>
        <w:t>万亿元，同比增长</w:t>
      </w:r>
      <w:r>
        <w:rPr>
          <w:rFonts w:ascii="华文楷体" w:eastAsia="华文楷体" w:hAnsi="华文楷体" w:hint="eastAsia"/>
        </w:rPr>
        <w:t>32.77%</w:t>
      </w:r>
      <w:r>
        <w:rPr>
          <w:rFonts w:ascii="华文楷体" w:eastAsia="华文楷体" w:hAnsi="华文楷体" w:hint="eastAsia"/>
        </w:rPr>
        <w:t>；网上银行个人客户达</w:t>
      </w:r>
      <w:r>
        <w:rPr>
          <w:rFonts w:ascii="华文楷体" w:eastAsia="华文楷体" w:hAnsi="华文楷体" w:hint="eastAsia"/>
        </w:rPr>
        <w:t>14.31</w:t>
      </w:r>
      <w:r>
        <w:rPr>
          <w:rFonts w:ascii="华文楷体" w:eastAsia="华文楷体" w:hAnsi="华文楷体" w:hint="eastAsia"/>
        </w:rPr>
        <w:t>亿户，同比增长</w:t>
      </w:r>
      <w:r>
        <w:rPr>
          <w:rFonts w:ascii="华文楷体" w:eastAsia="华文楷体" w:hAnsi="华文楷体" w:hint="eastAsia"/>
        </w:rPr>
        <w:t>17.32%</w:t>
      </w:r>
      <w:r>
        <w:rPr>
          <w:rFonts w:ascii="华文楷体" w:eastAsia="华文楷体" w:hAnsi="华文楷体" w:hint="eastAsia"/>
        </w:rPr>
        <w:t>。</w:t>
      </w:r>
    </w:p>
    <w:p w14:paraId="2CF9BE6A" w14:textId="77777777" w:rsidR="00ED5EBF" w:rsidRDefault="00ED5EBF">
      <w:pPr>
        <w:spacing w:line="360" w:lineRule="auto"/>
        <w:ind w:right="357" w:firstLineChars="200" w:firstLine="480"/>
        <w:jc w:val="left"/>
        <w:rPr>
          <w:rFonts w:ascii="华文楷体" w:eastAsia="华文楷体" w:hAnsi="华文楷体"/>
        </w:rPr>
      </w:pPr>
    </w:p>
    <w:p w14:paraId="040AA62E"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值得一提的是，</w:t>
      </w:r>
      <w:r>
        <w:rPr>
          <w:rFonts w:ascii="华文楷体" w:eastAsia="华文楷体" w:hAnsi="华文楷体" w:hint="eastAsia"/>
        </w:rPr>
        <w:t>2017</w:t>
      </w:r>
      <w:r>
        <w:rPr>
          <w:rFonts w:ascii="华文楷体" w:eastAsia="华文楷体" w:hAnsi="华文楷体" w:hint="eastAsia"/>
        </w:rPr>
        <w:t>年银行业围绕“三去一降一补”五大任务，“三农”普惠产品创新频出，成为发展亮点。《报告》显示，截至</w:t>
      </w:r>
      <w:r>
        <w:rPr>
          <w:rFonts w:ascii="华文楷体" w:eastAsia="华文楷体" w:hAnsi="华文楷体" w:hint="eastAsia"/>
        </w:rPr>
        <w:t>2017</w:t>
      </w:r>
      <w:r>
        <w:rPr>
          <w:rFonts w:ascii="华文楷体" w:eastAsia="华文楷体" w:hAnsi="华文楷体" w:hint="eastAsia"/>
        </w:rPr>
        <w:t>年末银行业</w:t>
      </w:r>
      <w:r>
        <w:rPr>
          <w:rFonts w:ascii="华文楷体" w:eastAsia="华文楷体" w:hAnsi="华文楷体" w:hint="eastAsia"/>
        </w:rPr>
        <w:t>金融机构涉农贷款余额达</w:t>
      </w:r>
      <w:r>
        <w:rPr>
          <w:rFonts w:ascii="华文楷体" w:eastAsia="华文楷体" w:hAnsi="华文楷体" w:hint="eastAsia"/>
        </w:rPr>
        <w:t>30.95</w:t>
      </w:r>
      <w:r>
        <w:rPr>
          <w:rFonts w:ascii="华文楷体" w:eastAsia="华文楷体" w:hAnsi="华文楷体" w:hint="eastAsia"/>
        </w:rPr>
        <w:t>万亿元，同比增长</w:t>
      </w:r>
      <w:r>
        <w:rPr>
          <w:rFonts w:ascii="华文楷体" w:eastAsia="华文楷体" w:hAnsi="华文楷体" w:hint="eastAsia"/>
        </w:rPr>
        <w:t>9.64%</w:t>
      </w:r>
      <w:r>
        <w:rPr>
          <w:rFonts w:ascii="华文楷体" w:eastAsia="华文楷体" w:hAnsi="华文楷体" w:hint="eastAsia"/>
        </w:rPr>
        <w:t>，小微企业贷款余额</w:t>
      </w:r>
      <w:r>
        <w:rPr>
          <w:rFonts w:ascii="华文楷体" w:eastAsia="华文楷体" w:hAnsi="华文楷体" w:hint="eastAsia"/>
        </w:rPr>
        <w:t>30.74</w:t>
      </w:r>
      <w:r>
        <w:rPr>
          <w:rFonts w:ascii="华文楷体" w:eastAsia="华文楷体" w:hAnsi="华文楷体" w:hint="eastAsia"/>
        </w:rPr>
        <w:t>万亿元，同比增长</w:t>
      </w:r>
      <w:r>
        <w:rPr>
          <w:rFonts w:ascii="华文楷体" w:eastAsia="华文楷体" w:hAnsi="华文楷体" w:hint="eastAsia"/>
        </w:rPr>
        <w:t>15.14%</w:t>
      </w:r>
      <w:r>
        <w:rPr>
          <w:rFonts w:ascii="华文楷体" w:eastAsia="华文楷体" w:hAnsi="华文楷体" w:hint="eastAsia"/>
        </w:rPr>
        <w:t>；保障性安居工程贷款同比增长</w:t>
      </w:r>
      <w:r>
        <w:rPr>
          <w:rFonts w:ascii="华文楷体" w:eastAsia="华文楷体" w:hAnsi="华文楷体" w:hint="eastAsia"/>
        </w:rPr>
        <w:t>42.3%</w:t>
      </w:r>
      <w:r>
        <w:rPr>
          <w:rFonts w:ascii="华文楷体" w:eastAsia="华文楷体" w:hAnsi="华文楷体" w:hint="eastAsia"/>
        </w:rPr>
        <w:t>，高于各项贷款平均增速近</w:t>
      </w:r>
      <w:r>
        <w:rPr>
          <w:rFonts w:ascii="华文楷体" w:eastAsia="华文楷体" w:hAnsi="华文楷体" w:hint="eastAsia"/>
        </w:rPr>
        <w:t>30</w:t>
      </w:r>
      <w:r>
        <w:rPr>
          <w:rFonts w:ascii="华文楷体" w:eastAsia="华文楷体" w:hAnsi="华文楷体" w:hint="eastAsia"/>
        </w:rPr>
        <w:t>个百分点。在普惠金融和民生金融领域支持力度大大加强，有力推动了实体经济发展。</w:t>
      </w:r>
    </w:p>
    <w:p w14:paraId="2795D2A2" w14:textId="77777777" w:rsidR="00ED5EBF" w:rsidRDefault="00ED5EBF">
      <w:pPr>
        <w:spacing w:line="360" w:lineRule="auto"/>
        <w:ind w:right="357" w:firstLineChars="200" w:firstLine="480"/>
        <w:jc w:val="left"/>
        <w:rPr>
          <w:rFonts w:ascii="华文楷体" w:eastAsia="华文楷体" w:hAnsi="华文楷体"/>
        </w:rPr>
      </w:pPr>
    </w:p>
    <w:p w14:paraId="39BE52DD"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此外，消费者权益保护融入银行业经营管理的各个环节。</w:t>
      </w:r>
      <w:r>
        <w:rPr>
          <w:rFonts w:ascii="华文楷体" w:eastAsia="华文楷体" w:hAnsi="华文楷体" w:hint="eastAsia"/>
        </w:rPr>
        <w:t>2017</w:t>
      </w:r>
      <w:r>
        <w:rPr>
          <w:rFonts w:ascii="华文楷体" w:eastAsia="华文楷体" w:hAnsi="华文楷体" w:hint="eastAsia"/>
        </w:rPr>
        <w:t>年，中国银行业进一步完善消费者权益保护制度建设，将消费者权益保护融入企业经营的各个方面，主动、规范、持续、系统地开展公众教育活动，各银行业机构通过完善流程、规范宣传、硬件保障等多措并举，认真落实</w:t>
      </w:r>
      <w:r>
        <w:rPr>
          <w:rFonts w:ascii="华文楷体" w:eastAsia="华文楷体" w:hAnsi="华文楷体" w:hint="eastAsia"/>
        </w:rPr>
        <w:t>销售专区、产品销售“双录”等有关要求，规范产品销售行为，完善信息公示，切实将消费者权益保护融入银行业经营管理的各个环节。同时，</w:t>
      </w:r>
      <w:r>
        <w:rPr>
          <w:rFonts w:ascii="华文楷体" w:eastAsia="华文楷体" w:hAnsi="华文楷体" w:hint="eastAsia"/>
        </w:rPr>
        <w:t>2017</w:t>
      </w:r>
      <w:r>
        <w:rPr>
          <w:rFonts w:ascii="华文楷体" w:eastAsia="华文楷体" w:hAnsi="华文楷体" w:hint="eastAsia"/>
        </w:rPr>
        <w:t>年度还启动了《中国银行业无障碍环境建设标准》制定工作，努力让残疾人客户共享我国金融经济社会发展成果和优质的金融服务。《报告》显示，</w:t>
      </w:r>
      <w:r>
        <w:rPr>
          <w:rFonts w:ascii="华文楷体" w:eastAsia="华文楷体" w:hAnsi="华文楷体" w:hint="eastAsia"/>
        </w:rPr>
        <w:t>2017</w:t>
      </w:r>
      <w:r>
        <w:rPr>
          <w:rFonts w:ascii="华文楷体" w:eastAsia="华文楷体" w:hAnsi="华文楷体" w:hint="eastAsia"/>
        </w:rPr>
        <w:t>年，参与消费者权益保护活动的网点数约</w:t>
      </w:r>
      <w:r>
        <w:rPr>
          <w:rFonts w:ascii="华文楷体" w:eastAsia="华文楷体" w:hAnsi="华文楷体" w:hint="eastAsia"/>
        </w:rPr>
        <w:t>18</w:t>
      </w:r>
      <w:r>
        <w:rPr>
          <w:rFonts w:ascii="华文楷体" w:eastAsia="华文楷体" w:hAnsi="华文楷体" w:hint="eastAsia"/>
        </w:rPr>
        <w:t>万个，累计活动</w:t>
      </w:r>
      <w:r>
        <w:rPr>
          <w:rFonts w:ascii="华文楷体" w:eastAsia="华文楷体" w:hAnsi="华文楷体" w:hint="eastAsia"/>
        </w:rPr>
        <w:t>60</w:t>
      </w:r>
      <w:r>
        <w:rPr>
          <w:rFonts w:ascii="华文楷体" w:eastAsia="华文楷体" w:hAnsi="华文楷体" w:hint="eastAsia"/>
        </w:rPr>
        <w:t>余万次，发放宣传材料超过</w:t>
      </w:r>
      <w:r>
        <w:rPr>
          <w:rFonts w:ascii="华文楷体" w:eastAsia="华文楷体" w:hAnsi="华文楷体" w:hint="eastAsia"/>
        </w:rPr>
        <w:t>1</w:t>
      </w:r>
      <w:r>
        <w:rPr>
          <w:rFonts w:ascii="华文楷体" w:eastAsia="华文楷体" w:hAnsi="华文楷体" w:hint="eastAsia"/>
        </w:rPr>
        <w:t>亿份，受益人逾亿人。</w:t>
      </w:r>
    </w:p>
    <w:p w14:paraId="557DC319" w14:textId="77777777" w:rsidR="00ED5EBF" w:rsidRDefault="00ED5EBF">
      <w:pPr>
        <w:spacing w:line="360" w:lineRule="auto"/>
        <w:ind w:right="357" w:firstLineChars="200" w:firstLine="480"/>
        <w:jc w:val="left"/>
        <w:rPr>
          <w:rFonts w:ascii="华文楷体" w:eastAsia="华文楷体" w:hAnsi="华文楷体"/>
        </w:rPr>
      </w:pPr>
    </w:p>
    <w:p w14:paraId="54B2759D" w14:textId="77777777" w:rsidR="00ED5EBF" w:rsidRDefault="00ED5EBF">
      <w:pPr>
        <w:spacing w:line="360" w:lineRule="auto"/>
        <w:ind w:right="357" w:firstLineChars="200" w:firstLine="480"/>
        <w:jc w:val="left"/>
        <w:rPr>
          <w:rFonts w:ascii="华文楷体" w:eastAsia="华文楷体" w:hAnsi="华文楷体"/>
        </w:rPr>
      </w:pPr>
    </w:p>
    <w:p w14:paraId="5D56F893" w14:textId="77777777" w:rsidR="00ED5EBF" w:rsidRDefault="00ED5EBF">
      <w:pPr>
        <w:spacing w:line="360" w:lineRule="auto"/>
        <w:ind w:right="357" w:firstLineChars="200" w:firstLine="480"/>
        <w:jc w:val="left"/>
        <w:rPr>
          <w:rFonts w:ascii="华文楷体" w:eastAsia="华文楷体" w:hAnsi="华文楷体"/>
        </w:rPr>
      </w:pPr>
    </w:p>
    <w:p w14:paraId="6C8B18DC" w14:textId="77777777" w:rsidR="00ED5EBF" w:rsidRDefault="00ED5EBF">
      <w:pPr>
        <w:spacing w:line="360" w:lineRule="auto"/>
        <w:ind w:right="357" w:firstLineChars="200" w:firstLine="480"/>
        <w:jc w:val="left"/>
        <w:rPr>
          <w:rFonts w:ascii="华文楷体" w:eastAsia="华文楷体" w:hAnsi="华文楷体"/>
        </w:rPr>
      </w:pPr>
    </w:p>
    <w:p w14:paraId="2F459A9F" w14:textId="77777777" w:rsidR="00ED5EBF" w:rsidRDefault="00ED5EBF">
      <w:pPr>
        <w:spacing w:line="360" w:lineRule="auto"/>
        <w:ind w:right="357" w:firstLineChars="200" w:firstLine="480"/>
        <w:jc w:val="left"/>
        <w:rPr>
          <w:rFonts w:ascii="华文楷体" w:eastAsia="华文楷体" w:hAnsi="华文楷体"/>
        </w:rPr>
      </w:pPr>
    </w:p>
    <w:p w14:paraId="1C49926A" w14:textId="77777777" w:rsidR="00ED5EBF" w:rsidRDefault="00ED5EBF">
      <w:pPr>
        <w:spacing w:line="360" w:lineRule="auto"/>
        <w:ind w:right="357" w:firstLineChars="200" w:firstLine="480"/>
        <w:jc w:val="left"/>
        <w:rPr>
          <w:rFonts w:ascii="华文楷体" w:eastAsia="华文楷体" w:hAnsi="华文楷体"/>
        </w:rPr>
      </w:pPr>
    </w:p>
    <w:p w14:paraId="4D82BF61" w14:textId="77777777" w:rsidR="00ED5EBF" w:rsidRDefault="00ED5EBF">
      <w:pPr>
        <w:spacing w:line="360" w:lineRule="auto"/>
        <w:ind w:right="357" w:firstLineChars="200" w:firstLine="480"/>
        <w:jc w:val="left"/>
        <w:rPr>
          <w:rFonts w:ascii="华文楷体" w:eastAsia="华文楷体" w:hAnsi="华文楷体"/>
        </w:rPr>
      </w:pPr>
    </w:p>
    <w:p w14:paraId="2BF4C208" w14:textId="77777777" w:rsidR="00ED5EBF" w:rsidRDefault="00ED5EBF">
      <w:pPr>
        <w:spacing w:line="360" w:lineRule="auto"/>
        <w:ind w:right="357" w:firstLineChars="200" w:firstLine="480"/>
        <w:jc w:val="left"/>
        <w:rPr>
          <w:rFonts w:ascii="华文楷体" w:eastAsia="华文楷体" w:hAnsi="华文楷体"/>
        </w:rPr>
      </w:pPr>
    </w:p>
    <w:p w14:paraId="67C485EB" w14:textId="77777777" w:rsidR="00ED5EBF" w:rsidRDefault="002034C8">
      <w:pPr>
        <w:spacing w:line="360" w:lineRule="auto"/>
        <w:ind w:right="357" w:firstLineChars="200" w:firstLine="480"/>
        <w:jc w:val="center"/>
        <w:rPr>
          <w:rFonts w:ascii="华文中宋" w:eastAsia="华文中宋" w:hAnsi="华文中宋" w:cs="华文中宋"/>
          <w:b/>
        </w:rPr>
      </w:pPr>
      <w:bookmarkStart w:id="43" w:name="把脉高质量发展发展更高层次的开放型经济"/>
      <w:r>
        <w:rPr>
          <w:rFonts w:ascii="华文中宋" w:eastAsia="华文中宋" w:hAnsi="华文中宋" w:cs="华文中宋" w:hint="eastAsia"/>
          <w:b/>
        </w:rPr>
        <w:t>把脉高质量发展</w:t>
      </w:r>
      <w:r>
        <w:rPr>
          <w:rFonts w:ascii="华文中宋" w:eastAsia="华文中宋" w:hAnsi="华文中宋" w:cs="华文中宋" w:hint="eastAsia"/>
          <w:b/>
        </w:rPr>
        <w:t xml:space="preserve"> </w:t>
      </w:r>
      <w:r>
        <w:rPr>
          <w:rFonts w:ascii="华文中宋" w:eastAsia="华文中宋" w:hAnsi="华文中宋" w:cs="华文中宋" w:hint="eastAsia"/>
          <w:b/>
        </w:rPr>
        <w:t>发展更高层次的开放型经济</w:t>
      </w:r>
    </w:p>
    <w:bookmarkEnd w:id="43"/>
    <w:p w14:paraId="7952807A" w14:textId="77777777" w:rsidR="00ED5EBF" w:rsidRDefault="002034C8">
      <w:pPr>
        <w:spacing w:line="360" w:lineRule="auto"/>
        <w:ind w:right="357" w:firstLineChars="200" w:firstLine="480"/>
        <w:jc w:val="center"/>
        <w:rPr>
          <w:rFonts w:ascii="华文楷体" w:eastAsia="华文楷体" w:hAnsi="华文楷体"/>
          <w:szCs w:val="21"/>
        </w:rPr>
      </w:pPr>
      <w:r>
        <w:rPr>
          <w:rFonts w:ascii="华文楷体" w:eastAsia="华文楷体" w:hAnsi="华文楷体" w:hint="eastAsia"/>
          <w:szCs w:val="21"/>
        </w:rPr>
        <w:t>时间：</w:t>
      </w:r>
      <w:r>
        <w:rPr>
          <w:rFonts w:ascii="华文楷体" w:eastAsia="华文楷体" w:hAnsi="华文楷体" w:hint="eastAsia"/>
          <w:szCs w:val="21"/>
        </w:rPr>
        <w:t xml:space="preserve">2018-03-16  </w:t>
      </w:r>
      <w:r>
        <w:rPr>
          <w:rFonts w:ascii="华文楷体" w:eastAsia="华文楷体" w:hAnsi="华文楷体" w:hint="eastAsia"/>
          <w:szCs w:val="21"/>
        </w:rPr>
        <w:t>来源：人民日报</w:t>
      </w:r>
    </w:p>
    <w:p w14:paraId="6D17CF0A"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政府工作报告提出，推动形成全面</w:t>
      </w:r>
      <w:r>
        <w:rPr>
          <w:rFonts w:ascii="华文楷体" w:eastAsia="华文楷体" w:hAnsi="华文楷体" w:hint="eastAsia"/>
        </w:rPr>
        <w:t>开放新格局。进一步拓展开放范围和层次，完善开放结构布局和体制机制，以高水平开放推动高质量发展。代表委员们认为，应继续朝着扩大开放要动力、添活力，既要拓展开放的范围和层次，也要创新开放结构布局、体制机制。</w:t>
      </w:r>
    </w:p>
    <w:p w14:paraId="456EA340" w14:textId="77777777" w:rsidR="00ED5EBF" w:rsidRDefault="00ED5EBF">
      <w:pPr>
        <w:spacing w:line="360" w:lineRule="auto"/>
        <w:ind w:right="357" w:firstLineChars="200" w:firstLine="480"/>
        <w:jc w:val="left"/>
        <w:rPr>
          <w:rFonts w:ascii="华文楷体" w:eastAsia="华文楷体" w:hAnsi="华文楷体"/>
        </w:rPr>
      </w:pPr>
    </w:p>
    <w:p w14:paraId="4079A864"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一带一路：拓展合作新空间</w:t>
      </w:r>
    </w:p>
    <w:p w14:paraId="163DCB83" w14:textId="77777777" w:rsidR="00ED5EBF" w:rsidRDefault="00ED5EBF">
      <w:pPr>
        <w:spacing w:line="360" w:lineRule="auto"/>
        <w:ind w:right="357" w:firstLineChars="200" w:firstLine="480"/>
        <w:jc w:val="left"/>
        <w:rPr>
          <w:rFonts w:ascii="华文楷体" w:eastAsia="华文楷体" w:hAnsi="华文楷体"/>
        </w:rPr>
      </w:pPr>
    </w:p>
    <w:p w14:paraId="5BB5297E"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政府工作报告提出，推进“一带一路”国际合作。代表委员们认为，“一带一路”建设带动中国制造和中国服务走出去，拓展了经济合作新空间。</w:t>
      </w:r>
    </w:p>
    <w:p w14:paraId="5005BCDC" w14:textId="77777777" w:rsidR="00ED5EBF" w:rsidRDefault="00ED5EBF">
      <w:pPr>
        <w:spacing w:line="360" w:lineRule="auto"/>
        <w:ind w:right="357" w:firstLineChars="200" w:firstLine="480"/>
        <w:jc w:val="left"/>
        <w:rPr>
          <w:rFonts w:ascii="华文楷体" w:eastAsia="华文楷体" w:hAnsi="华文楷体"/>
        </w:rPr>
      </w:pPr>
    </w:p>
    <w:p w14:paraId="072B27F4"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2017</w:t>
      </w:r>
      <w:r>
        <w:rPr>
          <w:rFonts w:ascii="华文楷体" w:eastAsia="华文楷体" w:hAnsi="华文楷体" w:hint="eastAsia"/>
        </w:rPr>
        <w:t>年，中国与“一带一路”相关国家进出口总额</w:t>
      </w:r>
      <w:r>
        <w:rPr>
          <w:rFonts w:ascii="华文楷体" w:eastAsia="华文楷体" w:hAnsi="华文楷体" w:hint="eastAsia"/>
        </w:rPr>
        <w:t>1.1</w:t>
      </w:r>
      <w:r>
        <w:rPr>
          <w:rFonts w:ascii="华文楷体" w:eastAsia="华文楷体" w:hAnsi="华文楷体" w:hint="eastAsia"/>
        </w:rPr>
        <w:t>万亿美元，增长了</w:t>
      </w:r>
      <w:r>
        <w:rPr>
          <w:rFonts w:ascii="华文楷体" w:eastAsia="华文楷体" w:hAnsi="华文楷体" w:hint="eastAsia"/>
        </w:rPr>
        <w:t>14.8%</w:t>
      </w:r>
      <w:r>
        <w:rPr>
          <w:rFonts w:ascii="华文楷体" w:eastAsia="华文楷体" w:hAnsi="华文楷体" w:hint="eastAsia"/>
        </w:rPr>
        <w:t>，高于全国外贸总体增速</w:t>
      </w:r>
      <w:r>
        <w:rPr>
          <w:rFonts w:ascii="华文楷体" w:eastAsia="华文楷体" w:hAnsi="华文楷体" w:hint="eastAsia"/>
        </w:rPr>
        <w:t>3.4</w:t>
      </w:r>
      <w:r>
        <w:rPr>
          <w:rFonts w:ascii="华文楷体" w:eastAsia="华文楷体" w:hAnsi="华文楷体" w:hint="eastAsia"/>
        </w:rPr>
        <w:t>个百分点。江西省商务厅厅长王水平代表认为：“‘一带一路’给开放型经济注入发展新动力。推动‘一带一路’国际合作，应继续推动国际大通道建设，深化沿线大通关合作，促进铁路、公路、港口等基础设施互联互通，进一步提高贸易便利化水平。”</w:t>
      </w:r>
    </w:p>
    <w:p w14:paraId="1DA881ED" w14:textId="77777777" w:rsidR="00ED5EBF" w:rsidRDefault="00ED5EBF">
      <w:pPr>
        <w:spacing w:line="360" w:lineRule="auto"/>
        <w:ind w:right="357" w:firstLineChars="200" w:firstLine="480"/>
        <w:jc w:val="left"/>
        <w:rPr>
          <w:rFonts w:ascii="华文楷体" w:eastAsia="华文楷体" w:hAnsi="华文楷体"/>
        </w:rPr>
      </w:pPr>
    </w:p>
    <w:p w14:paraId="648D231C"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中能国电集团董事局主席王一莉委员建议，加强与相关国家基础设施建设规划、质量技术体系、人员等方面的对接，并且打造信息流通、优势互补的企业资源共享平台。</w:t>
      </w:r>
    </w:p>
    <w:p w14:paraId="1588C3FD" w14:textId="77777777" w:rsidR="00ED5EBF" w:rsidRDefault="00ED5EBF">
      <w:pPr>
        <w:spacing w:line="360" w:lineRule="auto"/>
        <w:ind w:right="357" w:firstLineChars="200" w:firstLine="480"/>
        <w:jc w:val="left"/>
        <w:rPr>
          <w:rFonts w:ascii="华文楷体" w:eastAsia="华文楷体" w:hAnsi="华文楷体"/>
        </w:rPr>
      </w:pPr>
    </w:p>
    <w:p w14:paraId="3AD37A15"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云南大学校长林文勋代表认</w:t>
      </w:r>
      <w:r>
        <w:rPr>
          <w:rFonts w:ascii="华文楷体" w:eastAsia="华文楷体" w:hAnsi="华文楷体" w:hint="eastAsia"/>
        </w:rPr>
        <w:t>为，推动“一带一路”建设，应注重通过扩大国际产能合作，带动中国制造和中国服务走出去。同时，加大西部、内陆和沿边开放力度，打造相关地区经济发展新的增长点。</w:t>
      </w:r>
    </w:p>
    <w:p w14:paraId="5DFF41CE" w14:textId="77777777" w:rsidR="00ED5EBF" w:rsidRDefault="00ED5EBF">
      <w:pPr>
        <w:spacing w:line="360" w:lineRule="auto"/>
        <w:ind w:right="357" w:firstLineChars="200" w:firstLine="480"/>
        <w:jc w:val="left"/>
        <w:rPr>
          <w:rFonts w:ascii="华文楷体" w:eastAsia="华文楷体" w:hAnsi="华文楷体"/>
        </w:rPr>
      </w:pPr>
    </w:p>
    <w:p w14:paraId="248C754C"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“‘一带一路’相关国家的基础设施建设资金压力较大，要在充分发挥亚洲基础设施投资银行、丝路基金等平台作用的基础上，建设多元化融资体系和多层次资本市场，突破企业资金短缺瓶颈。”王一莉建议。</w:t>
      </w:r>
    </w:p>
    <w:p w14:paraId="3B7CA8F2" w14:textId="77777777" w:rsidR="00ED5EBF" w:rsidRDefault="00ED5EBF">
      <w:pPr>
        <w:spacing w:line="360" w:lineRule="auto"/>
        <w:ind w:right="357" w:firstLineChars="200" w:firstLine="480"/>
        <w:jc w:val="left"/>
        <w:rPr>
          <w:rFonts w:ascii="华文楷体" w:eastAsia="华文楷体" w:hAnsi="华文楷体"/>
        </w:rPr>
      </w:pPr>
    </w:p>
    <w:p w14:paraId="386A1891"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吸引外资：打造开放新高地</w:t>
      </w:r>
    </w:p>
    <w:p w14:paraId="593D458C" w14:textId="77777777" w:rsidR="00ED5EBF" w:rsidRDefault="00ED5EBF">
      <w:pPr>
        <w:spacing w:line="360" w:lineRule="auto"/>
        <w:ind w:right="357" w:firstLineChars="200" w:firstLine="480"/>
        <w:jc w:val="left"/>
        <w:rPr>
          <w:rFonts w:ascii="华文楷体" w:eastAsia="华文楷体" w:hAnsi="华文楷体"/>
        </w:rPr>
      </w:pPr>
    </w:p>
    <w:p w14:paraId="1EA1E1A8"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去年，中国吸引外商直接投资达到</w:t>
      </w:r>
      <w:r>
        <w:rPr>
          <w:rFonts w:ascii="华文楷体" w:eastAsia="华文楷体" w:hAnsi="华文楷体" w:hint="eastAsia"/>
        </w:rPr>
        <w:t>1310</w:t>
      </w:r>
      <w:r>
        <w:rPr>
          <w:rFonts w:ascii="华文楷体" w:eastAsia="华文楷体" w:hAnsi="华文楷体" w:hint="eastAsia"/>
        </w:rPr>
        <w:t>亿美元，居世界第二。代表委员们认为，当前中国的引资政策不断完善，成效显著。促进外商投资稳定增长，应继续</w:t>
      </w:r>
      <w:r>
        <w:rPr>
          <w:rFonts w:ascii="华文楷体" w:eastAsia="华文楷体" w:hAnsi="华文楷体" w:hint="eastAsia"/>
        </w:rPr>
        <w:t>在优化营商环境等方面下功夫，加强与国际通行经贸规则对接，建设国际一流营商环境。</w:t>
      </w:r>
    </w:p>
    <w:p w14:paraId="435A9CAF" w14:textId="77777777" w:rsidR="00ED5EBF" w:rsidRDefault="00ED5EBF">
      <w:pPr>
        <w:spacing w:line="360" w:lineRule="auto"/>
        <w:ind w:right="357" w:firstLineChars="200" w:firstLine="480"/>
        <w:jc w:val="left"/>
        <w:rPr>
          <w:rFonts w:ascii="华文楷体" w:eastAsia="华文楷体" w:hAnsi="华文楷体"/>
        </w:rPr>
      </w:pPr>
    </w:p>
    <w:p w14:paraId="0639B753"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引资不仅是引进资金，要把引资、引才、引智放在同等地位。现在常常是项目资金跟着人才走，而不是人才跟着资金走。”王水平说，政府工作报告提出，探索建设自由贸易港。希望在自由贸易港的空间布局上考虑地区差异性和区域平衡性，考虑给予内陆省份先行先试机会。</w:t>
      </w:r>
    </w:p>
    <w:p w14:paraId="6F3AA525" w14:textId="77777777" w:rsidR="00ED5EBF" w:rsidRDefault="00ED5EBF">
      <w:pPr>
        <w:spacing w:line="360" w:lineRule="auto"/>
        <w:ind w:right="357" w:firstLineChars="200" w:firstLine="480"/>
        <w:jc w:val="left"/>
        <w:rPr>
          <w:rFonts w:ascii="华文楷体" w:eastAsia="华文楷体" w:hAnsi="华文楷体"/>
        </w:rPr>
      </w:pPr>
    </w:p>
    <w:p w14:paraId="37DE6CE9"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“想要引来金凤凰，先要种好梧桐树。”重庆市经济和信息化委员会主任陈金山代表说，吸引外资已经从过去的靠政策、靠优惠，转向现在的靠环境、靠市场，必须练好基础设施建设等基本功，包括进一步拓</w:t>
      </w:r>
      <w:r>
        <w:rPr>
          <w:rFonts w:ascii="华文楷体" w:eastAsia="华文楷体" w:hAnsi="华文楷体" w:hint="eastAsia"/>
        </w:rPr>
        <w:t>展开放通道。“我们探索建立陆上贸易规则。通过解决铁路运单物权化问题，建立和海运相对应的国际规则，带动以铁路为骨干的国际贸易发展。我们拓展向北、向东这两个方向的通道，弥补海运能力的不足，让更多国外企业加强与西部地区的贸易往来。”</w:t>
      </w:r>
    </w:p>
    <w:p w14:paraId="6B04F2D8" w14:textId="77777777" w:rsidR="00ED5EBF" w:rsidRDefault="00ED5EBF">
      <w:pPr>
        <w:spacing w:line="360" w:lineRule="auto"/>
        <w:ind w:right="357" w:firstLineChars="200" w:firstLine="480"/>
        <w:jc w:val="left"/>
        <w:rPr>
          <w:rFonts w:ascii="华文楷体" w:eastAsia="华文楷体" w:hAnsi="华文楷体"/>
        </w:rPr>
      </w:pPr>
    </w:p>
    <w:p w14:paraId="37E53E42"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对外贸易：培育竞争新优势</w:t>
      </w:r>
    </w:p>
    <w:p w14:paraId="70923221" w14:textId="77777777" w:rsidR="00ED5EBF" w:rsidRDefault="00ED5EBF">
      <w:pPr>
        <w:spacing w:line="360" w:lineRule="auto"/>
        <w:ind w:right="357" w:firstLineChars="200" w:firstLine="480"/>
        <w:jc w:val="left"/>
        <w:rPr>
          <w:rFonts w:ascii="华文楷体" w:eastAsia="华文楷体" w:hAnsi="华文楷体"/>
        </w:rPr>
      </w:pPr>
    </w:p>
    <w:p w14:paraId="339A191F"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政府工作报告提出，巩固外贸稳中向好势头。代表委员们认为，要以更大的工作力度优化外贸结构，推动对外贸易平衡发展。</w:t>
      </w:r>
    </w:p>
    <w:p w14:paraId="39C27AED" w14:textId="77777777" w:rsidR="00ED5EBF" w:rsidRDefault="00ED5EBF">
      <w:pPr>
        <w:spacing w:line="360" w:lineRule="auto"/>
        <w:ind w:right="357" w:firstLineChars="200" w:firstLine="480"/>
        <w:jc w:val="left"/>
        <w:rPr>
          <w:rFonts w:ascii="华文楷体" w:eastAsia="华文楷体" w:hAnsi="华文楷体"/>
        </w:rPr>
      </w:pPr>
    </w:p>
    <w:p w14:paraId="74F2A691"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“比起增速，我国外贸在结构方面持续优化更值得关注。”浙江龙盛集团公司总工程师欧其代表认为，巩固外贸稳中向好势头，要推进贸易强国建设，从大进大</w:t>
      </w:r>
      <w:r>
        <w:rPr>
          <w:rFonts w:ascii="华文楷体" w:eastAsia="华文楷体" w:hAnsi="华文楷体" w:hint="eastAsia"/>
        </w:rPr>
        <w:t>出向优进优出转变。“引导创新型、创业型和劳动密集型中小微企业走‘专精特新’的发展模式，鼓励外贸龙头企业在经营理念、管理、研发、营销网络、服务等方面国际化协同发展。”</w:t>
      </w:r>
    </w:p>
    <w:p w14:paraId="1BED0C07" w14:textId="77777777" w:rsidR="00ED5EBF" w:rsidRDefault="00ED5EBF">
      <w:pPr>
        <w:spacing w:line="360" w:lineRule="auto"/>
        <w:ind w:right="357" w:firstLineChars="200" w:firstLine="480"/>
        <w:jc w:val="left"/>
        <w:rPr>
          <w:rFonts w:ascii="华文楷体" w:eastAsia="华文楷体" w:hAnsi="华文楷体"/>
        </w:rPr>
      </w:pPr>
    </w:p>
    <w:p w14:paraId="6FF32C0D"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王水平说，外贸发展要从过去中低端产品出口、承包工程，逐步向中高端产品、新兴服务业出口升级。“比如江西景德镇瓷器、中医药等逐渐成为外贸发展新亮点。下一步应继续推动优势产业走出去、富余产能转出去，提升整体产业发展水平。”</w:t>
      </w:r>
    </w:p>
    <w:p w14:paraId="5EEDE1D0" w14:textId="77777777" w:rsidR="00ED5EBF" w:rsidRDefault="00ED5EBF">
      <w:pPr>
        <w:spacing w:line="360" w:lineRule="auto"/>
        <w:ind w:right="357" w:firstLineChars="200" w:firstLine="480"/>
        <w:jc w:val="left"/>
        <w:rPr>
          <w:rFonts w:ascii="华文楷体" w:eastAsia="华文楷体" w:hAnsi="华文楷体"/>
        </w:rPr>
      </w:pPr>
    </w:p>
    <w:p w14:paraId="66FCC266" w14:textId="77777777" w:rsidR="00ED5EBF" w:rsidRDefault="002034C8">
      <w:pPr>
        <w:spacing w:line="360" w:lineRule="auto"/>
        <w:ind w:right="357" w:firstLineChars="200" w:firstLine="480"/>
        <w:jc w:val="left"/>
        <w:rPr>
          <w:rFonts w:ascii="华文楷体" w:eastAsia="华文楷体" w:hAnsi="华文楷体"/>
        </w:rPr>
      </w:pPr>
      <w:r>
        <w:rPr>
          <w:rFonts w:ascii="华文楷体" w:eastAsia="华文楷体" w:hAnsi="华文楷体" w:hint="eastAsia"/>
        </w:rPr>
        <w:t>代表委员们认为，建设贸易强国还要提升进口综合效益。扩大先进技术、设备、服务进口，促进国内产业升级，合理增加一般消费品进口，丰</w:t>
      </w:r>
      <w:r>
        <w:rPr>
          <w:rFonts w:ascii="华文楷体" w:eastAsia="华文楷体" w:hAnsi="华文楷体" w:hint="eastAsia"/>
        </w:rPr>
        <w:t>富国内市场高端优质商品供给。“要在开放中增强发展新动能、增创竞争新优势，走高质量发展之路。”王一莉说。</w:t>
      </w:r>
    </w:p>
    <w:p w14:paraId="09BABB18" w14:textId="77777777" w:rsidR="00ED5EBF" w:rsidRDefault="00ED5EBF">
      <w:pPr>
        <w:spacing w:line="360" w:lineRule="auto"/>
        <w:ind w:firstLineChars="200" w:firstLine="480"/>
        <w:rPr>
          <w:rFonts w:ascii="华文楷体" w:eastAsia="华文楷体" w:hAnsi="华文楷体" w:cs="华文楷体"/>
        </w:rPr>
      </w:pPr>
    </w:p>
    <w:p w14:paraId="5BA83ABE" w14:textId="77777777" w:rsidR="00ED5EBF" w:rsidRDefault="00ED5EBF">
      <w:pPr>
        <w:spacing w:line="360" w:lineRule="auto"/>
        <w:ind w:firstLineChars="200" w:firstLine="480"/>
        <w:jc w:val="right"/>
        <w:rPr>
          <w:rFonts w:ascii="华文楷体" w:eastAsia="华文楷体" w:hAnsi="华文楷体" w:cs="华文楷体"/>
        </w:rPr>
      </w:pPr>
    </w:p>
    <w:p w14:paraId="5FE27F9C" w14:textId="77777777" w:rsidR="00ED5EBF" w:rsidRDefault="00ED5EBF">
      <w:pPr>
        <w:spacing w:line="360" w:lineRule="auto"/>
        <w:ind w:firstLineChars="200" w:firstLine="480"/>
        <w:jc w:val="right"/>
        <w:rPr>
          <w:rFonts w:ascii="华文楷体" w:eastAsia="华文楷体" w:hAnsi="华文楷体" w:cs="华文楷体"/>
        </w:rPr>
      </w:pPr>
    </w:p>
    <w:p w14:paraId="0F4675CA" w14:textId="77777777" w:rsidR="00ED5EBF" w:rsidRDefault="00ED5EBF">
      <w:pPr>
        <w:spacing w:line="360" w:lineRule="auto"/>
        <w:ind w:firstLineChars="200" w:firstLine="480"/>
        <w:jc w:val="right"/>
        <w:rPr>
          <w:rFonts w:ascii="华文楷体" w:eastAsia="华文楷体" w:hAnsi="华文楷体" w:cs="华文楷体"/>
        </w:rPr>
      </w:pPr>
    </w:p>
    <w:p w14:paraId="1D21925D" w14:textId="77777777" w:rsidR="00ED5EBF" w:rsidRDefault="00ED5EBF">
      <w:pPr>
        <w:spacing w:line="360" w:lineRule="auto"/>
        <w:ind w:firstLineChars="200" w:firstLine="480"/>
        <w:jc w:val="right"/>
        <w:rPr>
          <w:rFonts w:ascii="华文楷体" w:eastAsia="华文楷体" w:hAnsi="华文楷体" w:cs="华文楷体"/>
        </w:rPr>
      </w:pPr>
    </w:p>
    <w:p w14:paraId="2BF8B44E" w14:textId="77777777" w:rsidR="00ED5EBF" w:rsidRDefault="00ED5EBF">
      <w:pPr>
        <w:spacing w:line="360" w:lineRule="auto"/>
        <w:ind w:firstLineChars="200" w:firstLine="480"/>
        <w:jc w:val="right"/>
        <w:rPr>
          <w:rFonts w:ascii="华文楷体" w:eastAsia="华文楷体" w:hAnsi="华文楷体" w:cs="华文楷体"/>
        </w:rPr>
      </w:pPr>
    </w:p>
    <w:p w14:paraId="7F29E8DA" w14:textId="77777777" w:rsidR="00ED5EBF" w:rsidRDefault="00ED5EBF">
      <w:pPr>
        <w:spacing w:line="360" w:lineRule="auto"/>
        <w:ind w:firstLineChars="200" w:firstLine="480"/>
        <w:jc w:val="right"/>
        <w:rPr>
          <w:rFonts w:ascii="华文楷体" w:eastAsia="华文楷体" w:hAnsi="华文楷体" w:cs="华文楷体"/>
        </w:rPr>
      </w:pPr>
    </w:p>
    <w:p w14:paraId="05D6EF35" w14:textId="77777777" w:rsidR="00ED5EBF" w:rsidRDefault="00ED5EBF">
      <w:pPr>
        <w:spacing w:line="360" w:lineRule="auto"/>
        <w:ind w:firstLineChars="200" w:firstLine="480"/>
        <w:jc w:val="right"/>
        <w:rPr>
          <w:rFonts w:ascii="华文楷体" w:eastAsia="华文楷体" w:hAnsi="华文楷体" w:cs="华文楷体"/>
        </w:rPr>
      </w:pPr>
    </w:p>
    <w:p w14:paraId="21A3690C" w14:textId="77777777" w:rsidR="00ED5EBF" w:rsidRDefault="00ED5EBF">
      <w:pPr>
        <w:spacing w:line="360" w:lineRule="auto"/>
        <w:ind w:firstLineChars="200" w:firstLine="480"/>
        <w:jc w:val="right"/>
        <w:rPr>
          <w:rFonts w:ascii="华文楷体" w:eastAsia="华文楷体" w:hAnsi="华文楷体" w:cs="华文楷体"/>
        </w:rPr>
      </w:pPr>
    </w:p>
    <w:p w14:paraId="1501ABF5" w14:textId="77777777" w:rsidR="00ED5EBF" w:rsidRDefault="00ED5EBF">
      <w:pPr>
        <w:spacing w:line="360" w:lineRule="auto"/>
        <w:ind w:firstLineChars="200" w:firstLine="480"/>
        <w:jc w:val="right"/>
        <w:rPr>
          <w:rFonts w:ascii="华文楷体" w:eastAsia="华文楷体" w:hAnsi="华文楷体" w:cs="华文楷体"/>
        </w:rPr>
      </w:pPr>
    </w:p>
    <w:p w14:paraId="7C2E8B20" w14:textId="77777777" w:rsidR="00ED5EBF" w:rsidRDefault="00ED5EBF">
      <w:pPr>
        <w:spacing w:line="360" w:lineRule="auto"/>
        <w:ind w:firstLineChars="200" w:firstLine="480"/>
        <w:jc w:val="right"/>
        <w:rPr>
          <w:rFonts w:ascii="华文楷体" w:eastAsia="华文楷体" w:hAnsi="华文楷体" w:cs="华文楷体"/>
        </w:rPr>
      </w:pPr>
    </w:p>
    <w:p w14:paraId="209C4283" w14:textId="77777777" w:rsidR="00ED5EBF" w:rsidRDefault="00ED5EBF">
      <w:pPr>
        <w:spacing w:line="360" w:lineRule="auto"/>
        <w:ind w:firstLineChars="200" w:firstLine="480"/>
        <w:jc w:val="right"/>
        <w:rPr>
          <w:rFonts w:ascii="华文楷体" w:eastAsia="华文楷体" w:hAnsi="华文楷体" w:cs="华文楷体"/>
        </w:rPr>
      </w:pPr>
    </w:p>
    <w:p w14:paraId="25B0670B" w14:textId="77777777" w:rsidR="00ED5EBF" w:rsidRDefault="00ED5EBF">
      <w:pPr>
        <w:spacing w:line="360" w:lineRule="auto"/>
        <w:ind w:firstLineChars="200" w:firstLine="480"/>
        <w:jc w:val="right"/>
        <w:rPr>
          <w:rFonts w:ascii="华文楷体" w:eastAsia="华文楷体" w:hAnsi="华文楷体" w:cs="华文楷体"/>
        </w:rPr>
      </w:pPr>
    </w:p>
    <w:p w14:paraId="7B6DE776" w14:textId="77777777" w:rsidR="00ED5EBF" w:rsidRDefault="00ED5EBF">
      <w:pPr>
        <w:spacing w:line="360" w:lineRule="auto"/>
        <w:ind w:firstLineChars="200" w:firstLine="480"/>
        <w:jc w:val="right"/>
        <w:rPr>
          <w:rFonts w:ascii="华文楷体" w:eastAsia="华文楷体" w:hAnsi="华文楷体" w:cs="华文楷体"/>
        </w:rPr>
      </w:pPr>
    </w:p>
    <w:p w14:paraId="42558B3C" w14:textId="77777777" w:rsidR="00ED5EBF" w:rsidRDefault="00ED5EBF">
      <w:pPr>
        <w:spacing w:line="360" w:lineRule="auto"/>
        <w:ind w:firstLineChars="200" w:firstLine="480"/>
        <w:jc w:val="right"/>
        <w:rPr>
          <w:rFonts w:ascii="华文楷体" w:eastAsia="华文楷体" w:hAnsi="华文楷体" w:cs="华文楷体"/>
        </w:rPr>
      </w:pPr>
    </w:p>
    <w:p w14:paraId="66CB4FE4" w14:textId="77777777" w:rsidR="00ED5EBF" w:rsidRDefault="00ED5EBF">
      <w:pPr>
        <w:spacing w:line="360" w:lineRule="auto"/>
        <w:ind w:firstLineChars="200" w:firstLine="480"/>
        <w:jc w:val="right"/>
        <w:rPr>
          <w:rFonts w:ascii="华文楷体" w:eastAsia="华文楷体" w:hAnsi="华文楷体" w:cs="华文楷体"/>
        </w:rPr>
      </w:pPr>
    </w:p>
    <w:p w14:paraId="20C4C887" w14:textId="77777777" w:rsidR="00ED5EBF" w:rsidRDefault="00ED5EBF">
      <w:pPr>
        <w:spacing w:line="360" w:lineRule="auto"/>
        <w:ind w:firstLineChars="200" w:firstLine="480"/>
        <w:jc w:val="right"/>
        <w:rPr>
          <w:rFonts w:ascii="华文楷体" w:eastAsia="华文楷体" w:hAnsi="华文楷体" w:cs="华文楷体"/>
        </w:rPr>
      </w:pPr>
    </w:p>
    <w:p w14:paraId="384DAFB2" w14:textId="77777777" w:rsidR="00ED5EBF" w:rsidRDefault="00ED5EBF">
      <w:pPr>
        <w:spacing w:line="360" w:lineRule="auto"/>
        <w:ind w:firstLineChars="200" w:firstLine="480"/>
        <w:jc w:val="right"/>
        <w:rPr>
          <w:rFonts w:ascii="华文楷体" w:eastAsia="华文楷体" w:hAnsi="华文楷体" w:cs="华文楷体"/>
        </w:rPr>
      </w:pPr>
    </w:p>
    <w:p w14:paraId="175A128A" w14:textId="77777777" w:rsidR="00ED5EBF" w:rsidRDefault="002034C8">
      <w:pPr>
        <w:spacing w:line="360" w:lineRule="auto"/>
        <w:ind w:firstLineChars="200" w:firstLine="480"/>
        <w:jc w:val="center"/>
        <w:rPr>
          <w:rFonts w:ascii="华文中宋" w:eastAsia="华文中宋" w:hAnsi="华文中宋" w:cs="华文中宋"/>
          <w:b/>
          <w:bCs/>
        </w:rPr>
      </w:pPr>
      <w:bookmarkStart w:id="44" w:name="关于养老目标证券投资基金的基金经理注册登记有关事项的通知"/>
      <w:r>
        <w:rPr>
          <w:rFonts w:ascii="华文中宋" w:eastAsia="华文中宋" w:hAnsi="华文中宋" w:cs="华文中宋" w:hint="eastAsia"/>
          <w:b/>
          <w:bCs/>
        </w:rPr>
        <w:t>关于养老目标证券投资基金的基金经理注册登记有关事项的通知</w:t>
      </w:r>
    </w:p>
    <w:bookmarkEnd w:id="44"/>
    <w:p w14:paraId="7585E78F" w14:textId="77777777" w:rsidR="00ED5EBF" w:rsidRDefault="002034C8">
      <w:pPr>
        <w:spacing w:line="360" w:lineRule="auto"/>
        <w:ind w:firstLineChars="200" w:firstLine="420"/>
        <w:jc w:val="center"/>
        <w:rPr>
          <w:rFonts w:ascii="华文楷体" w:eastAsia="华文楷体" w:hAnsi="华文楷体" w:cs="华文楷体"/>
          <w:sz w:val="21"/>
          <w:szCs w:val="21"/>
        </w:rPr>
      </w:pPr>
      <w:r>
        <w:rPr>
          <w:rFonts w:ascii="华文楷体" w:eastAsia="华文楷体" w:hAnsi="华文楷体" w:cs="华文楷体" w:hint="eastAsia"/>
          <w:sz w:val="21"/>
          <w:szCs w:val="21"/>
        </w:rPr>
        <w:t>日期：</w:t>
      </w:r>
      <w:r>
        <w:rPr>
          <w:rFonts w:ascii="华文楷体" w:eastAsia="华文楷体" w:hAnsi="华文楷体" w:cs="华文楷体" w:hint="eastAsia"/>
          <w:sz w:val="21"/>
          <w:szCs w:val="21"/>
        </w:rPr>
        <w:t>2018</w:t>
      </w:r>
      <w:r>
        <w:rPr>
          <w:rFonts w:ascii="华文楷体" w:eastAsia="华文楷体" w:hAnsi="华文楷体" w:cs="华文楷体" w:hint="eastAsia"/>
          <w:sz w:val="21"/>
          <w:szCs w:val="21"/>
        </w:rPr>
        <w:t>年</w:t>
      </w:r>
      <w:r>
        <w:rPr>
          <w:rFonts w:ascii="华文楷体" w:eastAsia="华文楷体" w:hAnsi="华文楷体" w:cs="华文楷体" w:hint="eastAsia"/>
          <w:sz w:val="21"/>
          <w:szCs w:val="21"/>
        </w:rPr>
        <w:t>3</w:t>
      </w:r>
      <w:r>
        <w:rPr>
          <w:rFonts w:ascii="华文楷体" w:eastAsia="华文楷体" w:hAnsi="华文楷体" w:cs="华文楷体" w:hint="eastAsia"/>
          <w:sz w:val="21"/>
          <w:szCs w:val="21"/>
        </w:rPr>
        <w:t>月</w:t>
      </w:r>
      <w:r>
        <w:rPr>
          <w:rFonts w:ascii="华文楷体" w:eastAsia="华文楷体" w:hAnsi="华文楷体" w:cs="华文楷体" w:hint="eastAsia"/>
          <w:sz w:val="21"/>
          <w:szCs w:val="21"/>
        </w:rPr>
        <w:t>12</w:t>
      </w:r>
      <w:r>
        <w:rPr>
          <w:rFonts w:ascii="华文楷体" w:eastAsia="华文楷体" w:hAnsi="华文楷体" w:cs="华文楷体" w:hint="eastAsia"/>
          <w:sz w:val="21"/>
          <w:szCs w:val="21"/>
        </w:rPr>
        <w:t>日</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来源：中国证券投资基金业协会</w:t>
      </w:r>
    </w:p>
    <w:p w14:paraId="2D115854" w14:textId="77777777" w:rsidR="00ED5EBF" w:rsidRDefault="00ED5EBF">
      <w:pPr>
        <w:spacing w:line="360" w:lineRule="auto"/>
        <w:ind w:firstLineChars="200" w:firstLine="420"/>
        <w:jc w:val="center"/>
        <w:rPr>
          <w:rFonts w:ascii="华文楷体" w:eastAsia="华文楷体" w:hAnsi="华文楷体" w:cs="华文楷体"/>
          <w:sz w:val="21"/>
          <w:szCs w:val="21"/>
        </w:rPr>
      </w:pPr>
    </w:p>
    <w:p w14:paraId="0D766044" w14:textId="77777777" w:rsidR="00ED5EBF" w:rsidRDefault="002034C8">
      <w:pPr>
        <w:spacing w:line="360" w:lineRule="auto"/>
        <w:jc w:val="center"/>
        <w:rPr>
          <w:rFonts w:ascii="华文楷体" w:eastAsia="华文楷体" w:hAnsi="华文楷体" w:cs="华文楷体"/>
        </w:rPr>
      </w:pPr>
      <w:r>
        <w:rPr>
          <w:rFonts w:ascii="华文楷体" w:eastAsia="华文楷体" w:hAnsi="华文楷体" w:cs="华文楷体" w:hint="eastAsia"/>
        </w:rPr>
        <w:t>中基协字〔</w:t>
      </w:r>
      <w:r>
        <w:rPr>
          <w:rFonts w:ascii="华文楷体" w:eastAsia="华文楷体" w:hAnsi="华文楷体" w:cs="华文楷体" w:hint="eastAsia"/>
        </w:rPr>
        <w:t>2018</w:t>
      </w:r>
      <w:r>
        <w:rPr>
          <w:rFonts w:ascii="华文楷体" w:eastAsia="华文楷体" w:hAnsi="华文楷体" w:cs="华文楷体" w:hint="eastAsia"/>
        </w:rPr>
        <w:t>〕</w:t>
      </w:r>
      <w:r>
        <w:rPr>
          <w:rFonts w:ascii="华文楷体" w:eastAsia="华文楷体" w:hAnsi="华文楷体" w:cs="华文楷体" w:hint="eastAsia"/>
        </w:rPr>
        <w:t xml:space="preserve">29 </w:t>
      </w:r>
      <w:r>
        <w:rPr>
          <w:rFonts w:ascii="华文楷体" w:eastAsia="华文楷体" w:hAnsi="华文楷体" w:cs="华文楷体" w:hint="eastAsia"/>
        </w:rPr>
        <w:t>号</w:t>
      </w:r>
    </w:p>
    <w:p w14:paraId="1157CAB3" w14:textId="77777777" w:rsidR="00ED5EBF" w:rsidRDefault="00ED5EBF">
      <w:pPr>
        <w:spacing w:line="360" w:lineRule="auto"/>
        <w:rPr>
          <w:rFonts w:ascii="华文楷体" w:eastAsia="华文楷体" w:hAnsi="华文楷体" w:cs="华文楷体"/>
        </w:rPr>
      </w:pPr>
    </w:p>
    <w:p w14:paraId="7007FF21" w14:textId="77777777" w:rsidR="00ED5EBF" w:rsidRDefault="002034C8">
      <w:pPr>
        <w:spacing w:line="360" w:lineRule="auto"/>
        <w:rPr>
          <w:rFonts w:ascii="华文楷体" w:eastAsia="华文楷体" w:hAnsi="华文楷体" w:cs="华文楷体"/>
        </w:rPr>
      </w:pPr>
      <w:r>
        <w:rPr>
          <w:rFonts w:ascii="华文楷体" w:eastAsia="华文楷体" w:hAnsi="华文楷体" w:cs="华文楷体" w:hint="eastAsia"/>
        </w:rPr>
        <w:t>各公募基金管理机构：</w:t>
      </w:r>
    </w:p>
    <w:p w14:paraId="7DD3877A" w14:textId="77777777" w:rsidR="00ED5EBF" w:rsidRDefault="00ED5EBF">
      <w:pPr>
        <w:rPr>
          <w:rFonts w:ascii="华文楷体" w:eastAsia="华文楷体" w:hAnsi="华文楷体" w:cs="华文楷体"/>
        </w:rPr>
      </w:pPr>
    </w:p>
    <w:p w14:paraId="37014224" w14:textId="77777777" w:rsidR="00ED5EBF" w:rsidRDefault="002034C8">
      <w:pPr>
        <w:ind w:firstLineChars="200" w:firstLine="480"/>
        <w:rPr>
          <w:rFonts w:ascii="华文楷体" w:eastAsia="华文楷体" w:hAnsi="华文楷体" w:cs="华文楷体"/>
        </w:rPr>
      </w:pPr>
      <w:r>
        <w:rPr>
          <w:rFonts w:ascii="华文楷体" w:eastAsia="华文楷体" w:hAnsi="华文楷体" w:cs="华文楷体" w:hint="eastAsia"/>
        </w:rPr>
        <w:t>为进一步完善基金经理的自律管理，中国证券投资基金业协会（以下简称“协会”）根据《养老目标证券投资基金指引（试行）》（证监会公告〔</w:t>
      </w:r>
      <w:r>
        <w:rPr>
          <w:rFonts w:ascii="华文楷体" w:eastAsia="华文楷体" w:hAnsi="华文楷体" w:cs="华文楷体" w:hint="eastAsia"/>
        </w:rPr>
        <w:t>2018</w:t>
      </w:r>
      <w:r>
        <w:rPr>
          <w:rFonts w:ascii="华文楷体" w:eastAsia="华文楷体" w:hAnsi="华文楷体" w:cs="华文楷体" w:hint="eastAsia"/>
        </w:rPr>
        <w:t>〕</w:t>
      </w:r>
      <w:r>
        <w:rPr>
          <w:rFonts w:ascii="华文楷体" w:eastAsia="华文楷体" w:hAnsi="华文楷体" w:cs="华文楷体" w:hint="eastAsia"/>
        </w:rPr>
        <w:t>2</w:t>
      </w:r>
      <w:r>
        <w:rPr>
          <w:rFonts w:ascii="华文楷体" w:eastAsia="华文楷体" w:hAnsi="华文楷体" w:cs="华文楷体" w:hint="eastAsia"/>
        </w:rPr>
        <w:t>号）和《基金经理注册登记规则》（中基协发〔</w:t>
      </w:r>
      <w:r>
        <w:rPr>
          <w:rFonts w:ascii="华文楷体" w:eastAsia="华文楷体" w:hAnsi="华文楷体" w:cs="华文楷体" w:hint="eastAsia"/>
        </w:rPr>
        <w:t>2012</w:t>
      </w:r>
      <w:r>
        <w:rPr>
          <w:rFonts w:ascii="华文楷体" w:eastAsia="华文楷体" w:hAnsi="华文楷体" w:cs="华文楷体" w:hint="eastAsia"/>
        </w:rPr>
        <w:t>〕</w:t>
      </w:r>
      <w:r>
        <w:rPr>
          <w:rFonts w:ascii="华文楷体" w:eastAsia="华文楷体" w:hAnsi="华文楷体" w:cs="华文楷体" w:hint="eastAsia"/>
        </w:rPr>
        <w:t>7</w:t>
      </w:r>
      <w:r>
        <w:rPr>
          <w:rFonts w:ascii="华文楷体" w:eastAsia="华文楷体" w:hAnsi="华文楷体" w:cs="华文楷体" w:hint="eastAsia"/>
        </w:rPr>
        <w:t>号）对养老目标证券投资基金的基金经理（以下简称“养老目标基金经理”）任职条件及注册登记流程进行细化，现将有关事项通知如下：</w:t>
      </w:r>
    </w:p>
    <w:p w14:paraId="46532B6E" w14:textId="77777777" w:rsidR="00ED5EBF" w:rsidRDefault="00ED5EBF">
      <w:pPr>
        <w:rPr>
          <w:rFonts w:ascii="华文楷体" w:eastAsia="华文楷体" w:hAnsi="华文楷体" w:cs="华文楷体"/>
        </w:rPr>
      </w:pPr>
    </w:p>
    <w:p w14:paraId="7FB5F851" w14:textId="77777777" w:rsidR="00ED5EBF" w:rsidRDefault="002034C8">
      <w:pPr>
        <w:ind w:firstLineChars="200" w:firstLine="480"/>
        <w:rPr>
          <w:rFonts w:ascii="华文楷体" w:eastAsia="华文楷体" w:hAnsi="华文楷体" w:cs="华文楷体"/>
        </w:rPr>
      </w:pPr>
      <w:r>
        <w:rPr>
          <w:rFonts w:ascii="华文楷体" w:eastAsia="华文楷体" w:hAnsi="华文楷体" w:cs="华文楷体" w:hint="eastAsia"/>
        </w:rPr>
        <w:t>一、养老目标基金经理任职条件</w:t>
      </w:r>
    </w:p>
    <w:p w14:paraId="03044812" w14:textId="77777777" w:rsidR="00ED5EBF" w:rsidRDefault="00ED5EBF">
      <w:pPr>
        <w:rPr>
          <w:rFonts w:ascii="华文楷体" w:eastAsia="华文楷体" w:hAnsi="华文楷体" w:cs="华文楷体"/>
        </w:rPr>
      </w:pPr>
    </w:p>
    <w:p w14:paraId="564D8BC4"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根据《养老目标证券投资基金指引（试行）》及《基金经理注册登记规则》有关规定，养老目标基金经理的任职条件为：</w:t>
      </w:r>
    </w:p>
    <w:p w14:paraId="77F7C501" w14:textId="77777777" w:rsidR="00ED5EBF" w:rsidRDefault="00ED5EBF">
      <w:pPr>
        <w:rPr>
          <w:rFonts w:ascii="华文楷体" w:eastAsia="华文楷体" w:hAnsi="华文楷体" w:cs="华文楷体"/>
        </w:rPr>
      </w:pPr>
    </w:p>
    <w:p w14:paraId="774DB04B" w14:textId="77777777" w:rsidR="00ED5EBF" w:rsidRDefault="002034C8">
      <w:pPr>
        <w:ind w:firstLineChars="200" w:firstLine="480"/>
        <w:rPr>
          <w:rFonts w:ascii="华文楷体" w:eastAsia="华文楷体" w:hAnsi="华文楷体" w:cs="华文楷体"/>
        </w:rPr>
      </w:pPr>
      <w:r>
        <w:rPr>
          <w:rFonts w:ascii="华文楷体" w:eastAsia="华文楷体" w:hAnsi="华文楷体" w:cs="华文楷体" w:hint="eastAsia"/>
        </w:rPr>
        <w:t>（一）取得基金从业资格；</w:t>
      </w:r>
    </w:p>
    <w:p w14:paraId="7A71340A" w14:textId="77777777" w:rsidR="00ED5EBF" w:rsidRDefault="00ED5EBF">
      <w:pPr>
        <w:ind w:firstLineChars="200" w:firstLine="480"/>
        <w:rPr>
          <w:rFonts w:ascii="华文楷体" w:eastAsia="华文楷体" w:hAnsi="华文楷体" w:cs="华文楷体"/>
        </w:rPr>
      </w:pPr>
    </w:p>
    <w:p w14:paraId="63E65B24" w14:textId="77777777" w:rsidR="00ED5EBF" w:rsidRDefault="002034C8">
      <w:pPr>
        <w:ind w:firstLineChars="200" w:firstLine="480"/>
        <w:rPr>
          <w:rFonts w:ascii="华文楷体" w:eastAsia="华文楷体" w:hAnsi="华文楷体" w:cs="华文楷体"/>
        </w:rPr>
      </w:pPr>
      <w:r>
        <w:rPr>
          <w:rFonts w:ascii="华文楷体" w:eastAsia="华文楷体" w:hAnsi="华文楷体" w:cs="华文楷体" w:hint="eastAsia"/>
        </w:rPr>
        <w:t>（二）具备</w:t>
      </w:r>
      <w:r>
        <w:rPr>
          <w:rFonts w:ascii="华文楷体" w:eastAsia="华文楷体" w:hAnsi="华文楷体" w:cs="华文楷体" w:hint="eastAsia"/>
        </w:rPr>
        <w:t>5</w:t>
      </w:r>
      <w:r>
        <w:rPr>
          <w:rFonts w:ascii="华文楷体" w:eastAsia="华文楷体" w:hAnsi="华文楷体" w:cs="华文楷体" w:hint="eastAsia"/>
        </w:rPr>
        <w:t>年</w:t>
      </w:r>
      <w:r>
        <w:rPr>
          <w:rFonts w:ascii="华文楷体" w:eastAsia="华文楷体" w:hAnsi="华文楷体" w:cs="华文楷体" w:hint="eastAsia"/>
        </w:rPr>
        <w:t>以上金融行业从事证券投资、证券研究分析、证券投资基金研究评价或分析经验，其中至少</w:t>
      </w:r>
      <w:r>
        <w:rPr>
          <w:rFonts w:ascii="华文楷体" w:eastAsia="华文楷体" w:hAnsi="华文楷体" w:cs="华文楷体" w:hint="eastAsia"/>
        </w:rPr>
        <w:t>2</w:t>
      </w:r>
      <w:r>
        <w:rPr>
          <w:rFonts w:ascii="华文楷体" w:eastAsia="华文楷体" w:hAnsi="华文楷体" w:cs="华文楷体" w:hint="eastAsia"/>
        </w:rPr>
        <w:t>年为证券投资经验（不含货币市场基金类资管产品投资经验）；或者具备</w:t>
      </w:r>
      <w:r>
        <w:rPr>
          <w:rFonts w:ascii="华文楷体" w:eastAsia="华文楷体" w:hAnsi="华文楷体" w:cs="华文楷体" w:hint="eastAsia"/>
        </w:rPr>
        <w:t>5</w:t>
      </w:r>
      <w:r>
        <w:rPr>
          <w:rFonts w:ascii="华文楷体" w:eastAsia="华文楷体" w:hAnsi="华文楷体" w:cs="华文楷体" w:hint="eastAsia"/>
        </w:rPr>
        <w:t>年以上养老金或保险资金资产配置经验；</w:t>
      </w:r>
    </w:p>
    <w:p w14:paraId="1743697E" w14:textId="77777777" w:rsidR="00ED5EBF" w:rsidRDefault="00ED5EBF">
      <w:pPr>
        <w:rPr>
          <w:rFonts w:ascii="华文楷体" w:eastAsia="华文楷体" w:hAnsi="华文楷体" w:cs="华文楷体"/>
        </w:rPr>
      </w:pPr>
    </w:p>
    <w:p w14:paraId="1032D274"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（三）历史投资业绩稳定、良好，无重大管理失当行为；</w:t>
      </w:r>
    </w:p>
    <w:p w14:paraId="08C07127" w14:textId="77777777" w:rsidR="00ED5EBF" w:rsidRDefault="00ED5EBF">
      <w:pPr>
        <w:rPr>
          <w:rFonts w:ascii="华文楷体" w:eastAsia="华文楷体" w:hAnsi="华文楷体" w:cs="华文楷体"/>
        </w:rPr>
      </w:pPr>
    </w:p>
    <w:p w14:paraId="59C1A3CF"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（四）没有《公司法》、《证券投资基金法》等法律、行政法规规定的不得担任公司董事、监事、经理和基金从业人员的情形；</w:t>
      </w:r>
    </w:p>
    <w:p w14:paraId="74B61057" w14:textId="77777777" w:rsidR="00ED5EBF" w:rsidRDefault="00ED5EBF">
      <w:pPr>
        <w:rPr>
          <w:rFonts w:ascii="华文楷体" w:eastAsia="华文楷体" w:hAnsi="华文楷体" w:cs="华文楷体"/>
        </w:rPr>
      </w:pPr>
    </w:p>
    <w:p w14:paraId="079DD923"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（五）最近</w:t>
      </w:r>
      <w:r>
        <w:rPr>
          <w:rFonts w:ascii="华文楷体" w:eastAsia="华文楷体" w:hAnsi="华文楷体" w:cs="华文楷体" w:hint="eastAsia"/>
        </w:rPr>
        <w:t>3</w:t>
      </w:r>
      <w:r>
        <w:rPr>
          <w:rFonts w:ascii="华文楷体" w:eastAsia="华文楷体" w:hAnsi="华文楷体" w:cs="华文楷体" w:hint="eastAsia"/>
        </w:rPr>
        <w:t>年没有违法违规记录；</w:t>
      </w:r>
    </w:p>
    <w:p w14:paraId="4D9FCD2F" w14:textId="77777777" w:rsidR="00ED5EBF" w:rsidRDefault="00ED5EBF">
      <w:pPr>
        <w:rPr>
          <w:rFonts w:ascii="华文楷体" w:eastAsia="华文楷体" w:hAnsi="华文楷体" w:cs="华文楷体"/>
        </w:rPr>
      </w:pPr>
    </w:p>
    <w:p w14:paraId="068F6A21"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（六）通过协会组织的基金经理证券投资法律知识考试；</w:t>
      </w:r>
    </w:p>
    <w:p w14:paraId="46E73699" w14:textId="77777777" w:rsidR="00ED5EBF" w:rsidRDefault="00ED5EBF">
      <w:pPr>
        <w:rPr>
          <w:rFonts w:ascii="华文楷体" w:eastAsia="华文楷体" w:hAnsi="华文楷体" w:cs="华文楷体"/>
        </w:rPr>
      </w:pPr>
    </w:p>
    <w:p w14:paraId="2F2677C8"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（七）法律法规规定的其他</w:t>
      </w:r>
      <w:r>
        <w:rPr>
          <w:rFonts w:ascii="华文楷体" w:eastAsia="华文楷体" w:hAnsi="华文楷体" w:cs="华文楷体" w:hint="eastAsia"/>
        </w:rPr>
        <w:t>条件。</w:t>
      </w:r>
    </w:p>
    <w:p w14:paraId="71CDF238" w14:textId="77777777" w:rsidR="00ED5EBF" w:rsidRDefault="00ED5EBF">
      <w:pPr>
        <w:rPr>
          <w:rFonts w:ascii="华文楷体" w:eastAsia="华文楷体" w:hAnsi="华文楷体" w:cs="华文楷体"/>
        </w:rPr>
      </w:pPr>
    </w:p>
    <w:p w14:paraId="04D241E3"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二、养老目标基金经理注册登记管理</w:t>
      </w:r>
    </w:p>
    <w:p w14:paraId="1136588A" w14:textId="77777777" w:rsidR="00ED5EBF" w:rsidRDefault="00ED5EBF">
      <w:pPr>
        <w:rPr>
          <w:rFonts w:ascii="华文楷体" w:eastAsia="华文楷体" w:hAnsi="华文楷体" w:cs="华文楷体"/>
        </w:rPr>
      </w:pPr>
    </w:p>
    <w:p w14:paraId="6CEF6D03"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养老目标基金经理注册、变更、注销流程与其他类型基金经理的注册、变更、注销流程相同</w:t>
      </w:r>
      <w:r>
        <w:rPr>
          <w:rFonts w:ascii="华文楷体" w:eastAsia="华文楷体" w:hAnsi="华文楷体" w:cs="华文楷体" w:hint="eastAsia"/>
        </w:rPr>
        <w:t>,</w:t>
      </w:r>
      <w:r>
        <w:rPr>
          <w:rFonts w:ascii="华文楷体" w:eastAsia="华文楷体" w:hAnsi="华文楷体" w:cs="华文楷体" w:hint="eastAsia"/>
        </w:rPr>
        <w:t>相关材料均采用电子化方式通过从业人员管理平台进行报送。</w:t>
      </w:r>
    </w:p>
    <w:p w14:paraId="383605D9" w14:textId="77777777" w:rsidR="00ED5EBF" w:rsidRDefault="00ED5EBF">
      <w:pPr>
        <w:rPr>
          <w:rFonts w:ascii="华文楷体" w:eastAsia="华文楷体" w:hAnsi="华文楷体" w:cs="华文楷体"/>
        </w:rPr>
      </w:pPr>
    </w:p>
    <w:p w14:paraId="0B8B361E"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（一）养老目标基金经理注册</w:t>
      </w:r>
    </w:p>
    <w:p w14:paraId="76A7E008" w14:textId="77777777" w:rsidR="00ED5EBF" w:rsidRDefault="00ED5EBF">
      <w:pPr>
        <w:rPr>
          <w:rFonts w:ascii="华文楷体" w:eastAsia="华文楷体" w:hAnsi="华文楷体" w:cs="华文楷体"/>
        </w:rPr>
      </w:pPr>
    </w:p>
    <w:p w14:paraId="214A8985"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养老目标基金经理的注册，应通过</w:t>
      </w:r>
      <w:r>
        <w:rPr>
          <w:rFonts w:ascii="华文楷体" w:eastAsia="华文楷体" w:hAnsi="华文楷体" w:cs="华文楷体" w:hint="eastAsia"/>
        </w:rPr>
        <w:t>FOF</w:t>
      </w:r>
      <w:r>
        <w:rPr>
          <w:rFonts w:ascii="华文楷体" w:eastAsia="华文楷体" w:hAnsi="华文楷体" w:cs="华文楷体" w:hint="eastAsia"/>
        </w:rPr>
        <w:t>类基金经理法律知识考试，除《基金经理注册登记规则》规定要求报送的材料外</w:t>
      </w:r>
      <w:r>
        <w:rPr>
          <w:rFonts w:ascii="华文楷体" w:eastAsia="华文楷体" w:hAnsi="华文楷体" w:cs="华文楷体" w:hint="eastAsia"/>
        </w:rPr>
        <w:t>,</w:t>
      </w:r>
      <w:r>
        <w:rPr>
          <w:rFonts w:ascii="华文楷体" w:eastAsia="华文楷体" w:hAnsi="华文楷体" w:cs="华文楷体" w:hint="eastAsia"/>
        </w:rPr>
        <w:t>增加提供历史投资业绩评估报告、填报投资业绩有关信息、详细说明投资管理经历等，具体要求如下：</w:t>
      </w:r>
    </w:p>
    <w:p w14:paraId="438A7B79" w14:textId="77777777" w:rsidR="00ED5EBF" w:rsidRDefault="00ED5EBF">
      <w:pPr>
        <w:rPr>
          <w:rFonts w:ascii="华文楷体" w:eastAsia="华文楷体" w:hAnsi="华文楷体" w:cs="华文楷体"/>
        </w:rPr>
      </w:pPr>
    </w:p>
    <w:p w14:paraId="32AFA7BA"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1</w:t>
      </w:r>
      <w:r>
        <w:rPr>
          <w:rFonts w:ascii="华文楷体" w:eastAsia="华文楷体" w:hAnsi="华文楷体" w:cs="华文楷体" w:hint="eastAsia"/>
        </w:rPr>
        <w:t>、历史投资业绩评估报告的要求</w:t>
      </w:r>
    </w:p>
    <w:p w14:paraId="17C24B16" w14:textId="77777777" w:rsidR="00ED5EBF" w:rsidRDefault="00ED5EBF">
      <w:pPr>
        <w:rPr>
          <w:rFonts w:ascii="华文楷体" w:eastAsia="华文楷体" w:hAnsi="华文楷体" w:cs="华文楷体"/>
        </w:rPr>
      </w:pPr>
    </w:p>
    <w:p w14:paraId="13C74D88"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为提升公募机构专业能力，推动完善投资管理人员评估、考核体系，需由本公司对拟聘任基金经理近</w:t>
      </w:r>
      <w:r>
        <w:rPr>
          <w:rFonts w:ascii="华文楷体" w:eastAsia="华文楷体" w:hAnsi="华文楷体" w:cs="华文楷体" w:hint="eastAsia"/>
        </w:rPr>
        <w:t>5</w:t>
      </w:r>
      <w:r>
        <w:rPr>
          <w:rFonts w:ascii="华文楷体" w:eastAsia="华文楷体" w:hAnsi="华文楷体" w:cs="华文楷体" w:hint="eastAsia"/>
        </w:rPr>
        <w:t>年管理所有投资组合的历史投资业绩稳定、良好及无重大管理失当行为出具评估报告。公司对同类型产品采用的评估方法和标准应当一致，应选择科学合理、行业公认的评估方法如波动率、夏普比率、最大回撤率等，选择其他评估方法的应专项说明；历史投资业绩评估报告应满足客观、可追溯、备查。</w:t>
      </w:r>
    </w:p>
    <w:p w14:paraId="5FF61945" w14:textId="77777777" w:rsidR="00ED5EBF" w:rsidRDefault="00ED5EBF">
      <w:pPr>
        <w:rPr>
          <w:rFonts w:ascii="华文楷体" w:eastAsia="华文楷体" w:hAnsi="华文楷体" w:cs="华文楷体"/>
        </w:rPr>
      </w:pPr>
    </w:p>
    <w:p w14:paraId="7F34551D"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2</w:t>
      </w:r>
      <w:r>
        <w:rPr>
          <w:rFonts w:ascii="华文楷体" w:eastAsia="华文楷体" w:hAnsi="华文楷体" w:cs="华文楷体" w:hint="eastAsia"/>
        </w:rPr>
        <w:t>、投资业绩有关信息的填报要求参照私募证券投管人员投资业绩标准</w:t>
      </w:r>
    </w:p>
    <w:p w14:paraId="15B22CB4" w14:textId="77777777" w:rsidR="00ED5EBF" w:rsidRDefault="00ED5EBF">
      <w:pPr>
        <w:rPr>
          <w:rFonts w:ascii="华文楷体" w:eastAsia="华文楷体" w:hAnsi="华文楷体" w:cs="华文楷体"/>
        </w:rPr>
      </w:pPr>
    </w:p>
    <w:p w14:paraId="6F69AFE8"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符合“具备</w:t>
      </w:r>
      <w:r>
        <w:rPr>
          <w:rFonts w:ascii="华文楷体" w:eastAsia="华文楷体" w:hAnsi="华文楷体" w:cs="华文楷体" w:hint="eastAsia"/>
        </w:rPr>
        <w:t>5</w:t>
      </w:r>
      <w:r>
        <w:rPr>
          <w:rFonts w:ascii="华文楷体" w:eastAsia="华文楷体" w:hAnsi="华文楷体" w:cs="华文楷体" w:hint="eastAsia"/>
        </w:rPr>
        <w:t>年以上金融行业从事证券投资、证券研究分析、证券投资</w:t>
      </w:r>
      <w:r>
        <w:rPr>
          <w:rFonts w:ascii="华文楷体" w:eastAsia="华文楷体" w:hAnsi="华文楷体" w:cs="华文楷体" w:hint="eastAsia"/>
        </w:rPr>
        <w:t>基金研究评价或分析经验，其中至少</w:t>
      </w:r>
      <w:r>
        <w:rPr>
          <w:rFonts w:ascii="华文楷体" w:eastAsia="华文楷体" w:hAnsi="华文楷体" w:cs="华文楷体" w:hint="eastAsia"/>
        </w:rPr>
        <w:t>2</w:t>
      </w:r>
      <w:r>
        <w:rPr>
          <w:rFonts w:ascii="华文楷体" w:eastAsia="华文楷体" w:hAnsi="华文楷体" w:cs="华文楷体" w:hint="eastAsia"/>
        </w:rPr>
        <w:t>年为证券投资经验”条件的，需填报不少于</w:t>
      </w:r>
      <w:r>
        <w:rPr>
          <w:rFonts w:ascii="华文楷体" w:eastAsia="华文楷体" w:hAnsi="华文楷体" w:cs="华文楷体" w:hint="eastAsia"/>
        </w:rPr>
        <w:t>2</w:t>
      </w:r>
      <w:r>
        <w:rPr>
          <w:rFonts w:ascii="华文楷体" w:eastAsia="华文楷体" w:hAnsi="华文楷体" w:cs="华文楷体" w:hint="eastAsia"/>
        </w:rPr>
        <w:t>年的投资业绩有关信息包括产品</w:t>
      </w:r>
      <w:r>
        <w:rPr>
          <w:rFonts w:ascii="华文楷体" w:eastAsia="华文楷体" w:hAnsi="华文楷体" w:cs="华文楷体" w:hint="eastAsia"/>
        </w:rPr>
        <w:t>/</w:t>
      </w:r>
      <w:r>
        <w:rPr>
          <w:rFonts w:ascii="华文楷体" w:eastAsia="华文楷体" w:hAnsi="华文楷体" w:cs="华文楷体" w:hint="eastAsia"/>
        </w:rPr>
        <w:t>账户名称、产品</w:t>
      </w:r>
      <w:r>
        <w:rPr>
          <w:rFonts w:ascii="华文楷体" w:eastAsia="华文楷体" w:hAnsi="华文楷体" w:cs="华文楷体" w:hint="eastAsia"/>
        </w:rPr>
        <w:t>/</w:t>
      </w:r>
      <w:r>
        <w:rPr>
          <w:rFonts w:ascii="华文楷体" w:eastAsia="华文楷体" w:hAnsi="华文楷体" w:cs="华文楷体" w:hint="eastAsia"/>
        </w:rPr>
        <w:t>账户类型、产品</w:t>
      </w:r>
      <w:r>
        <w:rPr>
          <w:rFonts w:ascii="华文楷体" w:eastAsia="华文楷体" w:hAnsi="华文楷体" w:cs="华文楷体" w:hint="eastAsia"/>
        </w:rPr>
        <w:t>/</w:t>
      </w:r>
      <w:r>
        <w:rPr>
          <w:rFonts w:ascii="华文楷体" w:eastAsia="华文楷体" w:hAnsi="华文楷体" w:cs="华文楷体" w:hint="eastAsia"/>
        </w:rPr>
        <w:t>账户代码、产品投资类型、投资管理起始日、投资管理终止日、估值日、单位净值、累计净值、分红（元</w:t>
      </w:r>
      <w:r>
        <w:rPr>
          <w:rFonts w:ascii="华文楷体" w:eastAsia="华文楷体" w:hAnsi="华文楷体" w:cs="华文楷体" w:hint="eastAsia"/>
        </w:rPr>
        <w:t>/</w:t>
      </w:r>
      <w:r>
        <w:rPr>
          <w:rFonts w:ascii="华文楷体" w:eastAsia="华文楷体" w:hAnsi="华文楷体" w:cs="华文楷体" w:hint="eastAsia"/>
        </w:rPr>
        <w:t>份）、累计净值增长率（</w:t>
      </w:r>
      <w:r>
        <w:rPr>
          <w:rFonts w:ascii="华文楷体" w:eastAsia="华文楷体" w:hAnsi="华文楷体" w:cs="华文楷体" w:hint="eastAsia"/>
        </w:rPr>
        <w:t>%</w:t>
      </w:r>
      <w:r>
        <w:rPr>
          <w:rFonts w:ascii="华文楷体" w:eastAsia="华文楷体" w:hAnsi="华文楷体" w:cs="华文楷体" w:hint="eastAsia"/>
        </w:rPr>
        <w:t>）等，参照私募证券投资基金管理人投资管理人员投资业绩填报标准和流程在从业人员管理平台进行填报。</w:t>
      </w:r>
    </w:p>
    <w:p w14:paraId="448E522A" w14:textId="77777777" w:rsidR="00ED5EBF" w:rsidRDefault="00ED5EBF">
      <w:pPr>
        <w:rPr>
          <w:rFonts w:ascii="华文楷体" w:eastAsia="华文楷体" w:hAnsi="华文楷体" w:cs="华文楷体"/>
        </w:rPr>
      </w:pPr>
    </w:p>
    <w:p w14:paraId="22F2EAE7"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3</w:t>
      </w:r>
      <w:r>
        <w:rPr>
          <w:rFonts w:ascii="华文楷体" w:eastAsia="华文楷体" w:hAnsi="华文楷体" w:cs="华文楷体" w:hint="eastAsia"/>
        </w:rPr>
        <w:t>、投资管理经历证明内容的要求</w:t>
      </w:r>
    </w:p>
    <w:p w14:paraId="5C2A6AFF" w14:textId="77777777" w:rsidR="00ED5EBF" w:rsidRDefault="00ED5EBF">
      <w:pPr>
        <w:rPr>
          <w:rFonts w:ascii="华文楷体" w:eastAsia="华文楷体" w:hAnsi="华文楷体" w:cs="华文楷体"/>
        </w:rPr>
      </w:pPr>
    </w:p>
    <w:p w14:paraId="625792A0"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投资管理经历证明应详细说明拟聘任基金经理的投资、研究分析、或资产配置经验，其中具有投资经验的需说明曾管理投资组</w:t>
      </w:r>
      <w:r>
        <w:rPr>
          <w:rFonts w:ascii="华文楷体" w:eastAsia="华文楷体" w:hAnsi="华文楷体" w:cs="华文楷体" w:hint="eastAsia"/>
        </w:rPr>
        <w:t>合的名称、规模、管理期限等；具有研究分析或资产配置经验的需说明岗位、职责、任期等。投资管理经历证明需经办人签字，相关任职单位加盖公章。</w:t>
      </w:r>
    </w:p>
    <w:p w14:paraId="54A0E3BC" w14:textId="77777777" w:rsidR="00ED5EBF" w:rsidRDefault="00ED5EBF">
      <w:pPr>
        <w:rPr>
          <w:rFonts w:ascii="华文楷体" w:eastAsia="华文楷体" w:hAnsi="华文楷体" w:cs="华文楷体"/>
        </w:rPr>
      </w:pPr>
    </w:p>
    <w:p w14:paraId="3B4D7472"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（二）养老目标基金经理变更</w:t>
      </w:r>
    </w:p>
    <w:p w14:paraId="25790864" w14:textId="77777777" w:rsidR="00ED5EBF" w:rsidRDefault="00ED5EBF">
      <w:pPr>
        <w:rPr>
          <w:rFonts w:ascii="华文楷体" w:eastAsia="华文楷体" w:hAnsi="华文楷体" w:cs="华文楷体"/>
        </w:rPr>
      </w:pPr>
    </w:p>
    <w:p w14:paraId="2F43A90A"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养老目标基金经理的变更，除《基金经理注册登记规则》规定的变更备案材料外，还需按照上述第</w:t>
      </w:r>
      <w:r>
        <w:rPr>
          <w:rFonts w:ascii="华文楷体" w:eastAsia="华文楷体" w:hAnsi="华文楷体" w:cs="华文楷体" w:hint="eastAsia"/>
        </w:rPr>
        <w:t>1</w:t>
      </w:r>
      <w:r>
        <w:rPr>
          <w:rFonts w:ascii="华文楷体" w:eastAsia="华文楷体" w:hAnsi="华文楷体" w:cs="华文楷体" w:hint="eastAsia"/>
        </w:rPr>
        <w:t>、</w:t>
      </w:r>
      <w:r>
        <w:rPr>
          <w:rFonts w:ascii="华文楷体" w:eastAsia="华文楷体" w:hAnsi="华文楷体" w:cs="华文楷体" w:hint="eastAsia"/>
        </w:rPr>
        <w:t>2</w:t>
      </w:r>
      <w:r>
        <w:rPr>
          <w:rFonts w:ascii="华文楷体" w:eastAsia="华文楷体" w:hAnsi="华文楷体" w:cs="华文楷体" w:hint="eastAsia"/>
        </w:rPr>
        <w:t>、</w:t>
      </w:r>
      <w:r>
        <w:rPr>
          <w:rFonts w:ascii="华文楷体" w:eastAsia="华文楷体" w:hAnsi="华文楷体" w:cs="华文楷体" w:hint="eastAsia"/>
        </w:rPr>
        <w:t>3</w:t>
      </w:r>
      <w:r>
        <w:rPr>
          <w:rFonts w:ascii="华文楷体" w:eastAsia="华文楷体" w:hAnsi="华文楷体" w:cs="华文楷体" w:hint="eastAsia"/>
        </w:rPr>
        <w:t>项要求报送材料。基金中基金的基金经理符合上述任职条件的，可直接变更成为养老目标基金经理；其他类型基金的基金经理符合上述任职条件的，在初次变更成为养老目标基金经理前，应通过</w:t>
      </w:r>
      <w:r>
        <w:rPr>
          <w:rFonts w:ascii="华文楷体" w:eastAsia="华文楷体" w:hAnsi="华文楷体" w:cs="华文楷体" w:hint="eastAsia"/>
        </w:rPr>
        <w:t>FOF</w:t>
      </w:r>
      <w:r>
        <w:rPr>
          <w:rFonts w:ascii="华文楷体" w:eastAsia="华文楷体" w:hAnsi="华文楷体" w:cs="华文楷体" w:hint="eastAsia"/>
        </w:rPr>
        <w:t>类基金经理法律知识考试。</w:t>
      </w:r>
    </w:p>
    <w:p w14:paraId="51B8ADC3" w14:textId="77777777" w:rsidR="00ED5EBF" w:rsidRDefault="00ED5EBF">
      <w:pPr>
        <w:rPr>
          <w:rFonts w:ascii="华文楷体" w:eastAsia="华文楷体" w:hAnsi="华文楷体" w:cs="华文楷体"/>
        </w:rPr>
      </w:pPr>
    </w:p>
    <w:p w14:paraId="34EEF678"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三、基金经理考试大纲</w:t>
      </w:r>
      <w:r>
        <w:rPr>
          <w:rFonts w:ascii="华文楷体" w:eastAsia="华文楷体" w:hAnsi="华文楷体" w:cs="华文楷体" w:hint="eastAsia"/>
        </w:rPr>
        <w:t>更新说明</w:t>
      </w:r>
    </w:p>
    <w:p w14:paraId="4E723142" w14:textId="77777777" w:rsidR="00ED5EBF" w:rsidRDefault="00ED5EBF">
      <w:pPr>
        <w:rPr>
          <w:rFonts w:ascii="华文楷体" w:eastAsia="华文楷体" w:hAnsi="华文楷体" w:cs="华文楷体"/>
        </w:rPr>
      </w:pPr>
    </w:p>
    <w:p w14:paraId="0DD89EC0"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考虑养老目标基金主要采用基金中基金形式、资产配置策略进行运作，不另设养老目标基金考试，对现有</w:t>
      </w:r>
      <w:r>
        <w:rPr>
          <w:rFonts w:ascii="华文楷体" w:eastAsia="华文楷体" w:hAnsi="华文楷体" w:cs="华文楷体" w:hint="eastAsia"/>
        </w:rPr>
        <w:t>FOF</w:t>
      </w:r>
      <w:r>
        <w:rPr>
          <w:rFonts w:ascii="华文楷体" w:eastAsia="华文楷体" w:hAnsi="华文楷体" w:cs="华文楷体" w:hint="eastAsia"/>
        </w:rPr>
        <w:t>类考试内容进行完善。在《基金经理证券法律知识考试大纲》（以下简称“大纲”）第六章“其他资产管理业务”下增加了养老目标基金相关内容，包括了解养老目标基金的出台背景；了解养老目标基金的定义；掌握养老目标基金的形式及资产配置策略要求；掌握目标日期基金和目标风险基金相关理论知识、匹配养老需求的资产配置方法；掌握养老目标基金的运作方式及投资比例要求；掌握养老目标基金的子基金要求；了解基金管理人申请募集</w:t>
      </w:r>
      <w:r>
        <w:rPr>
          <w:rFonts w:ascii="华文楷体" w:eastAsia="华文楷体" w:hAnsi="华文楷体" w:cs="华文楷体" w:hint="eastAsia"/>
        </w:rPr>
        <w:t>养老目标基金申报鼓励具备的条件、及基金经理任职要求；熟悉养老目标基金的费率设置原则；熟悉养老目标基金的投资者适当性管理要求；熟悉养老目标基金的宣传推介要求，在大纲附件《参考法规资料目录》中增加一部法规和三个参考资料，分别为《养老目标证券投资基金指引（试行）》、《目标风险基金——养老金的默认投资产品》（《声音》</w:t>
      </w:r>
      <w:r>
        <w:rPr>
          <w:rFonts w:ascii="华文楷体" w:eastAsia="华文楷体" w:hAnsi="华文楷体" w:cs="华文楷体" w:hint="eastAsia"/>
        </w:rPr>
        <w:t>2017</w:t>
      </w:r>
      <w:r>
        <w:rPr>
          <w:rFonts w:ascii="华文楷体" w:eastAsia="华文楷体" w:hAnsi="华文楷体" w:cs="华文楷体" w:hint="eastAsia"/>
        </w:rPr>
        <w:t>年第</w:t>
      </w:r>
      <w:r>
        <w:rPr>
          <w:rFonts w:ascii="华文楷体" w:eastAsia="华文楷体" w:hAnsi="华文楷体" w:cs="华文楷体" w:hint="eastAsia"/>
        </w:rPr>
        <w:t>8</w:t>
      </w:r>
      <w:r>
        <w:rPr>
          <w:rFonts w:ascii="华文楷体" w:eastAsia="华文楷体" w:hAnsi="华文楷体" w:cs="华文楷体" w:hint="eastAsia"/>
        </w:rPr>
        <w:t>期）、《个人养老金的投资、产品和市场培育经验》（《声音》</w:t>
      </w:r>
      <w:r>
        <w:rPr>
          <w:rFonts w:ascii="华文楷体" w:eastAsia="华文楷体" w:hAnsi="华文楷体" w:cs="华文楷体" w:hint="eastAsia"/>
        </w:rPr>
        <w:t>2017</w:t>
      </w:r>
      <w:r>
        <w:rPr>
          <w:rFonts w:ascii="华文楷体" w:eastAsia="华文楷体" w:hAnsi="华文楷体" w:cs="华文楷体" w:hint="eastAsia"/>
        </w:rPr>
        <w:t>年第</w:t>
      </w:r>
      <w:r>
        <w:rPr>
          <w:rFonts w:ascii="华文楷体" w:eastAsia="华文楷体" w:hAnsi="华文楷体" w:cs="华文楷体" w:hint="eastAsia"/>
        </w:rPr>
        <w:t>17</w:t>
      </w:r>
      <w:r>
        <w:rPr>
          <w:rFonts w:ascii="华文楷体" w:eastAsia="华文楷体" w:hAnsi="华文楷体" w:cs="华文楷体" w:hint="eastAsia"/>
        </w:rPr>
        <w:t>期）和《目标日期基金历史与发展》（协会从业人员远程培训系统培训课程）。</w:t>
      </w:r>
    </w:p>
    <w:p w14:paraId="4A4EE332" w14:textId="77777777" w:rsidR="00ED5EBF" w:rsidRDefault="00ED5EBF">
      <w:pPr>
        <w:rPr>
          <w:rFonts w:ascii="华文楷体" w:eastAsia="华文楷体" w:hAnsi="华文楷体" w:cs="华文楷体"/>
        </w:rPr>
      </w:pPr>
    </w:p>
    <w:p w14:paraId="4F6EDEE3"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2018</w:t>
      </w:r>
      <w:r>
        <w:rPr>
          <w:rFonts w:ascii="华文楷体" w:eastAsia="华文楷体" w:hAnsi="华文楷体" w:cs="华文楷体" w:hint="eastAsia"/>
        </w:rPr>
        <w:t>年</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26</w:t>
      </w:r>
      <w:r>
        <w:rPr>
          <w:rFonts w:ascii="华文楷体" w:eastAsia="华文楷体" w:hAnsi="华文楷体" w:cs="华文楷体" w:hint="eastAsia"/>
        </w:rPr>
        <w:t>日起，可以在从业</w:t>
      </w:r>
      <w:r>
        <w:rPr>
          <w:rFonts w:ascii="华文楷体" w:eastAsia="华文楷体" w:hAnsi="华文楷体" w:cs="华文楷体" w:hint="eastAsia"/>
        </w:rPr>
        <w:t>人员管理平台中办理养老目标基金经理考试预约、注册和变更等相关事宜。</w:t>
      </w:r>
    </w:p>
    <w:p w14:paraId="6B698F9E" w14:textId="77777777" w:rsidR="00ED5EBF" w:rsidRDefault="00ED5EBF">
      <w:pPr>
        <w:rPr>
          <w:rFonts w:ascii="华文楷体" w:eastAsia="华文楷体" w:hAnsi="华文楷体" w:cs="华文楷体"/>
        </w:rPr>
      </w:pPr>
    </w:p>
    <w:p w14:paraId="4BB7827B" w14:textId="77777777" w:rsidR="00ED5EBF" w:rsidRDefault="002034C8">
      <w:pPr>
        <w:rPr>
          <w:rFonts w:ascii="华文楷体" w:eastAsia="华文楷体" w:hAnsi="华文楷体" w:cs="华文楷体"/>
        </w:rPr>
      </w:pPr>
      <w:r>
        <w:rPr>
          <w:rFonts w:ascii="华文楷体" w:eastAsia="华文楷体" w:hAnsi="华文楷体" w:cs="华文楷体" w:hint="eastAsia"/>
        </w:rPr>
        <w:t>附件：</w:t>
      </w:r>
      <w:hyperlink r:id="rId35" w:history="1">
        <w:r>
          <w:rPr>
            <w:rStyle w:val="aa"/>
            <w:rFonts w:ascii="华文楷体" w:eastAsia="华文楷体" w:hAnsi="华文楷体" w:cs="华文楷体" w:hint="eastAsia"/>
          </w:rPr>
          <w:t>《基金经理证券投资法律知识考试大纲（</w:t>
        </w:r>
        <w:r>
          <w:rPr>
            <w:rStyle w:val="aa"/>
            <w:rFonts w:ascii="华文楷体" w:eastAsia="华文楷体" w:hAnsi="华文楷体" w:cs="华文楷体" w:hint="eastAsia"/>
          </w:rPr>
          <w:t>2018</w:t>
        </w:r>
        <w:r>
          <w:rPr>
            <w:rStyle w:val="aa"/>
            <w:rFonts w:ascii="华文楷体" w:eastAsia="华文楷体" w:hAnsi="华文楷体" w:cs="华文楷体" w:hint="eastAsia"/>
          </w:rPr>
          <w:t>年</w:t>
        </w:r>
        <w:r>
          <w:rPr>
            <w:rStyle w:val="aa"/>
            <w:rFonts w:ascii="华文楷体" w:eastAsia="华文楷体" w:hAnsi="华文楷体" w:cs="华文楷体" w:hint="eastAsia"/>
          </w:rPr>
          <w:t>3</w:t>
        </w:r>
        <w:r>
          <w:rPr>
            <w:rStyle w:val="aa"/>
            <w:rFonts w:ascii="华文楷体" w:eastAsia="华文楷体" w:hAnsi="华文楷体" w:cs="华文楷体" w:hint="eastAsia"/>
          </w:rPr>
          <w:t>月更新）》</w:t>
        </w:r>
      </w:hyperlink>
    </w:p>
    <w:p w14:paraId="5A1579AE" w14:textId="77777777" w:rsidR="00ED5EBF" w:rsidRDefault="00ED5EBF">
      <w:pPr>
        <w:rPr>
          <w:rFonts w:ascii="华文楷体" w:eastAsia="华文楷体" w:hAnsi="华文楷体" w:cs="华文楷体"/>
        </w:rPr>
      </w:pPr>
    </w:p>
    <w:p w14:paraId="04E9EF9E"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p>
    <w:p w14:paraId="1D9A26FD" w14:textId="77777777" w:rsidR="00ED5EBF" w:rsidRDefault="002034C8">
      <w:pPr>
        <w:jc w:val="right"/>
        <w:rPr>
          <w:rFonts w:ascii="华文楷体" w:eastAsia="华文楷体" w:hAnsi="华文楷体" w:cs="华文楷体"/>
        </w:rPr>
      </w:pPr>
      <w:r>
        <w:rPr>
          <w:rFonts w:ascii="华文楷体" w:eastAsia="华文楷体" w:hAnsi="华文楷体" w:cs="华文楷体" w:hint="eastAsia"/>
        </w:rPr>
        <w:t>中国证券投资基金业协会</w:t>
      </w:r>
    </w:p>
    <w:p w14:paraId="3DD6804B" w14:textId="77777777" w:rsidR="00ED5EBF" w:rsidRDefault="002034C8">
      <w:pPr>
        <w:jc w:val="right"/>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二○一八年三月十二日</w:t>
      </w:r>
    </w:p>
    <w:p w14:paraId="6904828D" w14:textId="77777777" w:rsidR="00ED5EBF" w:rsidRDefault="00ED5EBF">
      <w:pPr>
        <w:rPr>
          <w:rFonts w:ascii="华文楷体" w:eastAsia="华文楷体" w:hAnsi="华文楷体" w:cs="华文楷体"/>
        </w:rPr>
      </w:pPr>
    </w:p>
    <w:p w14:paraId="6D115C19" w14:textId="77777777" w:rsidR="00ED5EBF" w:rsidRDefault="00ED5EBF">
      <w:pPr>
        <w:rPr>
          <w:rFonts w:ascii="华文楷体" w:eastAsia="华文楷体" w:hAnsi="华文楷体" w:cs="华文楷体"/>
        </w:rPr>
      </w:pPr>
    </w:p>
    <w:p w14:paraId="4E07151B" w14:textId="77777777" w:rsidR="00ED5EBF" w:rsidRDefault="00ED5EBF">
      <w:pPr>
        <w:rPr>
          <w:rFonts w:ascii="华文楷体" w:eastAsia="华文楷体" w:hAnsi="华文楷体" w:cs="华文楷体"/>
        </w:rPr>
      </w:pPr>
    </w:p>
    <w:p w14:paraId="00C1878D" w14:textId="77777777" w:rsidR="00ED5EBF" w:rsidRDefault="00ED5EBF">
      <w:pPr>
        <w:rPr>
          <w:rFonts w:ascii="华文楷体" w:eastAsia="华文楷体" w:hAnsi="华文楷体" w:cs="华文楷体"/>
        </w:rPr>
      </w:pPr>
    </w:p>
    <w:p w14:paraId="1B79DE6D" w14:textId="77777777" w:rsidR="00ED5EBF" w:rsidRDefault="00ED5EBF">
      <w:pPr>
        <w:rPr>
          <w:rFonts w:ascii="华文楷体" w:eastAsia="华文楷体" w:hAnsi="华文楷体" w:cs="华文楷体"/>
        </w:rPr>
      </w:pPr>
    </w:p>
    <w:p w14:paraId="2D56C9E6" w14:textId="77777777" w:rsidR="00ED5EBF" w:rsidRDefault="00ED5EBF">
      <w:pPr>
        <w:rPr>
          <w:rFonts w:ascii="华文楷体" w:eastAsia="华文楷体" w:hAnsi="华文楷体" w:cs="华文楷体"/>
        </w:rPr>
      </w:pPr>
    </w:p>
    <w:p w14:paraId="758C5AC6" w14:textId="77777777" w:rsidR="00ED5EBF" w:rsidRDefault="002034C8">
      <w:pPr>
        <w:spacing w:line="360" w:lineRule="auto"/>
        <w:ind w:firstLineChars="200" w:firstLine="480"/>
        <w:jc w:val="center"/>
        <w:rPr>
          <w:rFonts w:ascii="华文楷体" w:eastAsia="华文楷体" w:hAnsi="华文楷体" w:cs="华文楷体"/>
          <w:sz w:val="21"/>
          <w:szCs w:val="21"/>
        </w:rPr>
      </w:pPr>
      <w:bookmarkStart w:id="45" w:name="全面依法加强私募行业的自律工作——中国证券投资基金业协会法制工作委员会、自律监察"/>
      <w:r>
        <w:rPr>
          <w:rFonts w:ascii="华文中宋" w:eastAsia="华文中宋" w:hAnsi="华文中宋" w:cs="华文中宋" w:hint="eastAsia"/>
          <w:b/>
          <w:bCs/>
        </w:rPr>
        <w:t>全面依法加强私募行业的自律工作——中国证券投资基金业协会法制工作委员会、自律监察委员会召开联席会议</w:t>
      </w:r>
    </w:p>
    <w:bookmarkEnd w:id="45"/>
    <w:p w14:paraId="24835ACD" w14:textId="77777777" w:rsidR="00ED5EBF" w:rsidRDefault="002034C8">
      <w:pPr>
        <w:spacing w:line="360" w:lineRule="auto"/>
        <w:ind w:firstLineChars="200" w:firstLine="420"/>
        <w:jc w:val="center"/>
        <w:rPr>
          <w:rFonts w:ascii="华文楷体" w:eastAsia="华文楷体" w:hAnsi="华文楷体" w:cs="华文楷体"/>
          <w:sz w:val="21"/>
          <w:szCs w:val="21"/>
        </w:rPr>
      </w:pPr>
      <w:r>
        <w:rPr>
          <w:rFonts w:ascii="华文楷体" w:eastAsia="华文楷体" w:hAnsi="华文楷体" w:cs="华文楷体" w:hint="eastAsia"/>
          <w:sz w:val="21"/>
          <w:szCs w:val="21"/>
        </w:rPr>
        <w:t>日期：</w:t>
      </w:r>
      <w:r>
        <w:rPr>
          <w:rFonts w:ascii="华文楷体" w:eastAsia="华文楷体" w:hAnsi="华文楷体" w:cs="华文楷体" w:hint="eastAsia"/>
          <w:sz w:val="21"/>
          <w:szCs w:val="21"/>
        </w:rPr>
        <w:t>2018</w:t>
      </w:r>
      <w:r>
        <w:rPr>
          <w:rFonts w:ascii="华文楷体" w:eastAsia="华文楷体" w:hAnsi="华文楷体" w:cs="华文楷体" w:hint="eastAsia"/>
          <w:sz w:val="21"/>
          <w:szCs w:val="21"/>
        </w:rPr>
        <w:t>年</w:t>
      </w:r>
      <w:r>
        <w:rPr>
          <w:rFonts w:ascii="华文楷体" w:eastAsia="华文楷体" w:hAnsi="华文楷体" w:cs="华文楷体" w:hint="eastAsia"/>
          <w:sz w:val="21"/>
          <w:szCs w:val="21"/>
        </w:rPr>
        <w:t>3</w:t>
      </w:r>
      <w:r>
        <w:rPr>
          <w:rFonts w:ascii="华文楷体" w:eastAsia="华文楷体" w:hAnsi="华文楷体" w:cs="华文楷体" w:hint="eastAsia"/>
          <w:sz w:val="21"/>
          <w:szCs w:val="21"/>
        </w:rPr>
        <w:t>月</w:t>
      </w:r>
      <w:r>
        <w:rPr>
          <w:rFonts w:ascii="华文楷体" w:eastAsia="华文楷体" w:hAnsi="华文楷体" w:cs="华文楷体" w:hint="eastAsia"/>
          <w:sz w:val="21"/>
          <w:szCs w:val="21"/>
        </w:rPr>
        <w:t>14</w:t>
      </w:r>
      <w:r>
        <w:rPr>
          <w:rFonts w:ascii="华文楷体" w:eastAsia="华文楷体" w:hAnsi="华文楷体" w:cs="华文楷体" w:hint="eastAsia"/>
          <w:sz w:val="21"/>
          <w:szCs w:val="21"/>
        </w:rPr>
        <w:t>日</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来源：中国证券投资基金业协会</w:t>
      </w:r>
    </w:p>
    <w:p w14:paraId="5E3F25E4" w14:textId="77777777" w:rsidR="00ED5EBF" w:rsidRDefault="00ED5EBF">
      <w:pPr>
        <w:spacing w:line="360" w:lineRule="auto"/>
        <w:ind w:firstLineChars="200" w:firstLine="480"/>
        <w:rPr>
          <w:rFonts w:ascii="华文楷体" w:eastAsia="华文楷体" w:hAnsi="华文楷体" w:cs="华文楷体"/>
        </w:rPr>
      </w:pPr>
    </w:p>
    <w:p w14:paraId="379D773E" w14:textId="77777777" w:rsidR="00ED5EBF" w:rsidRDefault="002034C8">
      <w:pPr>
        <w:spacing w:line="360" w:lineRule="auto"/>
        <w:ind w:firstLineChars="200" w:firstLine="480"/>
        <w:rPr>
          <w:rFonts w:ascii="华文楷体" w:eastAsia="华文楷体" w:hAnsi="华文楷体" w:cs="华文楷体"/>
        </w:rPr>
      </w:pPr>
      <w:r>
        <w:rPr>
          <w:rFonts w:ascii="华文楷体" w:eastAsia="华文楷体" w:hAnsi="华文楷体" w:cs="华文楷体" w:hint="eastAsia"/>
        </w:rPr>
        <w:t>2018</w:t>
      </w:r>
      <w:r>
        <w:rPr>
          <w:rFonts w:ascii="华文楷体" w:eastAsia="华文楷体" w:hAnsi="华文楷体" w:cs="华文楷体" w:hint="eastAsia"/>
        </w:rPr>
        <w:t>年</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13</w:t>
      </w:r>
      <w:r>
        <w:rPr>
          <w:rFonts w:ascii="华文楷体" w:eastAsia="华文楷体" w:hAnsi="华文楷体" w:cs="华文楷体" w:hint="eastAsia"/>
        </w:rPr>
        <w:t>日，中国证券投资基金业协会（以下简称协会）法制工作委员会、自律监察委员会召开联席会议。会议由协会党委书记、会长洪磊主持，协会党委副书记、纪委书记胡家夫出席会议，法制工作委员会主席、嘉实基金管理公司董事长赵学军，自律监察委员会主席、工银瑞信基金管理公司总经理郭特华及两委员会委员参加会议。</w:t>
      </w:r>
    </w:p>
    <w:p w14:paraId="2EF45014" w14:textId="77777777" w:rsidR="00ED5EBF" w:rsidRDefault="002034C8">
      <w:pPr>
        <w:jc w:val="center"/>
        <w:rPr>
          <w:rFonts w:ascii="华文楷体" w:eastAsia="华文楷体" w:hAnsi="华文楷体" w:cs="华文楷体"/>
        </w:rPr>
      </w:pPr>
      <w:r>
        <w:rPr>
          <w:rFonts w:ascii="宋体" w:eastAsia="宋体" w:hAnsi="宋体" w:cs="宋体"/>
          <w:noProof/>
        </w:rPr>
        <w:drawing>
          <wp:inline distT="0" distB="0" distL="114300" distR="114300" wp14:anchorId="7CA1C934" wp14:editId="65B0D556">
            <wp:extent cx="3235325" cy="1889760"/>
            <wp:effectExtent l="0" t="0" r="3175" b="15240"/>
            <wp:docPr id="43" name="图片 4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IMG_256"/>
                    <pic:cNvPicPr>
                      <a:picLocks noChangeAspect="1"/>
                    </pic:cNvPicPr>
                  </pic:nvPicPr>
                  <pic:blipFill>
                    <a:blip r:embed="rId36"/>
                    <a:stretch>
                      <a:fillRect/>
                    </a:stretch>
                  </pic:blipFill>
                  <pic:spPr>
                    <a:xfrm>
                      <a:off x="0" y="0"/>
                      <a:ext cx="3235325" cy="1889760"/>
                    </a:xfrm>
                    <a:prstGeom prst="rect">
                      <a:avLst/>
                    </a:prstGeom>
                    <a:noFill/>
                    <a:ln w="9525">
                      <a:noFill/>
                    </a:ln>
                  </pic:spPr>
                </pic:pic>
              </a:graphicData>
            </a:graphic>
          </wp:inline>
        </w:drawing>
      </w:r>
    </w:p>
    <w:p w14:paraId="6DB0DED6" w14:textId="77777777" w:rsidR="00ED5EBF" w:rsidRDefault="00ED5EBF">
      <w:pPr>
        <w:ind w:firstLineChars="200" w:firstLine="480"/>
        <w:rPr>
          <w:rFonts w:ascii="华文楷体" w:eastAsia="华文楷体" w:hAnsi="华文楷体" w:cs="华文楷体"/>
        </w:rPr>
      </w:pPr>
    </w:p>
    <w:p w14:paraId="3561B433" w14:textId="77777777" w:rsidR="00ED5EBF" w:rsidRDefault="002034C8">
      <w:pPr>
        <w:ind w:firstLineChars="200" w:firstLine="480"/>
        <w:rPr>
          <w:rFonts w:ascii="华文楷体" w:eastAsia="华文楷体" w:hAnsi="华文楷体" w:cs="华文楷体"/>
        </w:rPr>
      </w:pPr>
      <w:r>
        <w:rPr>
          <w:rFonts w:ascii="华文楷体" w:eastAsia="华文楷体" w:hAnsi="华文楷体" w:cs="华文楷体" w:hint="eastAsia"/>
        </w:rPr>
        <w:t>会议全面总结了</w:t>
      </w:r>
      <w:r>
        <w:rPr>
          <w:rFonts w:ascii="华文楷体" w:eastAsia="华文楷体" w:hAnsi="华文楷体" w:cs="华文楷体" w:hint="eastAsia"/>
        </w:rPr>
        <w:t>2017</w:t>
      </w:r>
      <w:r>
        <w:rPr>
          <w:rFonts w:ascii="华文楷体" w:eastAsia="华文楷体" w:hAnsi="华文楷体" w:cs="华文楷体" w:hint="eastAsia"/>
        </w:rPr>
        <w:t>年的基金行业的自律工作。</w:t>
      </w:r>
      <w:r>
        <w:rPr>
          <w:rFonts w:ascii="华文楷体" w:eastAsia="华文楷体" w:hAnsi="华文楷体" w:cs="华文楷体" w:hint="eastAsia"/>
        </w:rPr>
        <w:t>2017</w:t>
      </w:r>
      <w:r>
        <w:rPr>
          <w:rFonts w:ascii="华文楷体" w:eastAsia="华文楷体" w:hAnsi="华文楷体" w:cs="华文楷体" w:hint="eastAsia"/>
        </w:rPr>
        <w:t>年，协会的行业自律工作以党的十九大精神为指引，深入贯彻落实全国金融工作会议和中央经济工作会议精神，按照证监会依法全面从严监管的总体部署，全面履行《</w:t>
      </w:r>
      <w:r>
        <w:rPr>
          <w:rFonts w:ascii="华文楷体" w:eastAsia="华文楷体" w:hAnsi="华文楷体" w:cs="华文楷体" w:hint="eastAsia"/>
        </w:rPr>
        <w:t>基金法》赋予的法定职责，严格遵循《章程》凝聚的行业重托，坚决维护投资人的合法权益，努力维护会员的合法权益，有力促进了行业的健康发展。协会全年受理投资者投诉</w:t>
      </w:r>
      <w:r>
        <w:rPr>
          <w:rFonts w:ascii="华文楷体" w:eastAsia="华文楷体" w:hAnsi="华文楷体" w:cs="华文楷体" w:hint="eastAsia"/>
        </w:rPr>
        <w:t>2090</w:t>
      </w:r>
      <w:r>
        <w:rPr>
          <w:rFonts w:ascii="华文楷体" w:eastAsia="华文楷体" w:hAnsi="华文楷体" w:cs="华文楷体" w:hint="eastAsia"/>
        </w:rPr>
        <w:t>件，启动自律调查和专项核查上百次，对</w:t>
      </w:r>
      <w:r>
        <w:rPr>
          <w:rFonts w:ascii="华文楷体" w:eastAsia="华文楷体" w:hAnsi="华文楷体" w:cs="华文楷体" w:hint="eastAsia"/>
        </w:rPr>
        <w:t>246</w:t>
      </w:r>
      <w:r>
        <w:rPr>
          <w:rFonts w:ascii="华文楷体" w:eastAsia="华文楷体" w:hAnsi="华文楷体" w:cs="华文楷体" w:hint="eastAsia"/>
        </w:rPr>
        <w:t>家私募基金管理人采取暂停备案的自律管理措施，注销机构</w:t>
      </w:r>
      <w:r>
        <w:rPr>
          <w:rFonts w:ascii="华文楷体" w:eastAsia="华文楷体" w:hAnsi="华文楷体" w:cs="华文楷体" w:hint="eastAsia"/>
        </w:rPr>
        <w:t>112</w:t>
      </w:r>
      <w:r>
        <w:rPr>
          <w:rFonts w:ascii="华文楷体" w:eastAsia="华文楷体" w:hAnsi="华文楷体" w:cs="华文楷体" w:hint="eastAsia"/>
        </w:rPr>
        <w:t>家，已累计对</w:t>
      </w:r>
      <w:r>
        <w:rPr>
          <w:rFonts w:ascii="华文楷体" w:eastAsia="华文楷体" w:hAnsi="华文楷体" w:cs="华文楷体" w:hint="eastAsia"/>
        </w:rPr>
        <w:t>52</w:t>
      </w:r>
      <w:r>
        <w:rPr>
          <w:rFonts w:ascii="华文楷体" w:eastAsia="华文楷体" w:hAnsi="华文楷体" w:cs="华文楷体" w:hint="eastAsia"/>
        </w:rPr>
        <w:t>家机构、</w:t>
      </w:r>
      <w:r>
        <w:rPr>
          <w:rFonts w:ascii="华文楷体" w:eastAsia="华文楷体" w:hAnsi="华文楷体" w:cs="华文楷体" w:hint="eastAsia"/>
        </w:rPr>
        <w:t>23</w:t>
      </w:r>
      <w:r>
        <w:rPr>
          <w:rFonts w:ascii="华文楷体" w:eastAsia="华文楷体" w:hAnsi="华文楷体" w:cs="华文楷体" w:hint="eastAsia"/>
        </w:rPr>
        <w:t>名从业人员作出了撤销登记或取消从业资格等纪律处分，自律工作的威慑力和公信力正在不断增强。同时，协会充分发挥行业自律的体制机制优势，依法履行调解职能，把化解纠纷的要求落到实处，全年达成调解金额</w:t>
      </w:r>
      <w:r>
        <w:rPr>
          <w:rFonts w:ascii="华文楷体" w:eastAsia="华文楷体" w:hAnsi="华文楷体" w:cs="华文楷体" w:hint="eastAsia"/>
        </w:rPr>
        <w:t>9.7</w:t>
      </w:r>
      <w:r>
        <w:rPr>
          <w:rFonts w:ascii="华文楷体" w:eastAsia="华文楷体" w:hAnsi="华文楷体" w:cs="华文楷体" w:hint="eastAsia"/>
        </w:rPr>
        <w:t>亿，让广大投诉人有真实的获</w:t>
      </w:r>
      <w:r>
        <w:rPr>
          <w:rFonts w:ascii="华文楷体" w:eastAsia="华文楷体" w:hAnsi="华文楷体" w:cs="华文楷体" w:hint="eastAsia"/>
        </w:rPr>
        <w:t>得感。</w:t>
      </w:r>
    </w:p>
    <w:p w14:paraId="004AD722" w14:textId="77777777" w:rsidR="00ED5EBF" w:rsidRDefault="00ED5EBF">
      <w:pPr>
        <w:rPr>
          <w:rFonts w:ascii="华文楷体" w:eastAsia="华文楷体" w:hAnsi="华文楷体" w:cs="华文楷体"/>
        </w:rPr>
      </w:pPr>
    </w:p>
    <w:p w14:paraId="522BD538" w14:textId="77777777" w:rsidR="00ED5EBF" w:rsidRDefault="002034C8">
      <w:pPr>
        <w:ind w:firstLineChars="200" w:firstLine="480"/>
        <w:rPr>
          <w:rFonts w:ascii="华文楷体" w:eastAsia="华文楷体" w:hAnsi="华文楷体" w:cs="华文楷体"/>
        </w:rPr>
      </w:pPr>
      <w:r>
        <w:rPr>
          <w:rFonts w:ascii="华文楷体" w:eastAsia="华文楷体" w:hAnsi="华文楷体" w:cs="华文楷体" w:hint="eastAsia"/>
        </w:rPr>
        <w:t>会议认为，</w:t>
      </w:r>
      <w:r>
        <w:rPr>
          <w:rFonts w:ascii="华文楷体" w:eastAsia="华文楷体" w:hAnsi="华文楷体" w:cs="华文楷体" w:hint="eastAsia"/>
        </w:rPr>
        <w:t>2018</w:t>
      </w:r>
      <w:r>
        <w:rPr>
          <w:rFonts w:ascii="华文楷体" w:eastAsia="华文楷体" w:hAnsi="华文楷体" w:cs="华文楷体" w:hint="eastAsia"/>
        </w:rPr>
        <w:t>年是打好防范化解金融风险攻坚战的开局之年。协会的自律工作应当以改革精神为驱动，以法治精神为保障，努力建设新时代的社会组织，带领基金行业为打赢防范化解金融风险攻坚战作出重要贡献。会议指出，</w:t>
      </w:r>
      <w:r>
        <w:rPr>
          <w:rFonts w:ascii="华文楷体" w:eastAsia="华文楷体" w:hAnsi="华文楷体" w:cs="华文楷体" w:hint="eastAsia"/>
        </w:rPr>
        <w:t>2017</w:t>
      </w:r>
      <w:r>
        <w:rPr>
          <w:rFonts w:ascii="华文楷体" w:eastAsia="华文楷体" w:hAnsi="华文楷体" w:cs="华文楷体" w:hint="eastAsia"/>
        </w:rPr>
        <w:t>年私募基金行业快速发展。截至</w:t>
      </w:r>
      <w:r>
        <w:rPr>
          <w:rFonts w:ascii="华文楷体" w:eastAsia="华文楷体" w:hAnsi="华文楷体" w:cs="华文楷体" w:hint="eastAsia"/>
        </w:rPr>
        <w:t>2017</w:t>
      </w:r>
      <w:r>
        <w:rPr>
          <w:rFonts w:ascii="华文楷体" w:eastAsia="华文楷体" w:hAnsi="华文楷体" w:cs="华文楷体" w:hint="eastAsia"/>
        </w:rPr>
        <w:t>年底，登记机构达到</w:t>
      </w:r>
      <w:r>
        <w:rPr>
          <w:rFonts w:ascii="华文楷体" w:eastAsia="华文楷体" w:hAnsi="华文楷体" w:cs="华文楷体" w:hint="eastAsia"/>
        </w:rPr>
        <w:t>22446</w:t>
      </w:r>
      <w:r>
        <w:rPr>
          <w:rFonts w:ascii="华文楷体" w:eastAsia="华文楷体" w:hAnsi="华文楷体" w:cs="华文楷体" w:hint="eastAsia"/>
        </w:rPr>
        <w:t>家，管理基金</w:t>
      </w:r>
      <w:r>
        <w:rPr>
          <w:rFonts w:ascii="华文楷体" w:eastAsia="华文楷体" w:hAnsi="华文楷体" w:cs="华文楷体" w:hint="eastAsia"/>
        </w:rPr>
        <w:t>66418</w:t>
      </w:r>
      <w:r>
        <w:rPr>
          <w:rFonts w:ascii="华文楷体" w:eastAsia="华文楷体" w:hAnsi="华文楷体" w:cs="华文楷体" w:hint="eastAsia"/>
        </w:rPr>
        <w:t>只，规模</w:t>
      </w:r>
      <w:r>
        <w:rPr>
          <w:rFonts w:ascii="华文楷体" w:eastAsia="华文楷体" w:hAnsi="华文楷体" w:cs="华文楷体" w:hint="eastAsia"/>
        </w:rPr>
        <w:t>11.10</w:t>
      </w:r>
      <w:r>
        <w:rPr>
          <w:rFonts w:ascii="华文楷体" w:eastAsia="华文楷体" w:hAnsi="华文楷体" w:cs="华文楷体" w:hint="eastAsia"/>
        </w:rPr>
        <w:t>万亿元。一方面，私募基金行业在服务实体经济，增加市场活力方面发挥了重要作用；另一方面，我国私募基金行业还处于发展的初期阶段，与美国</w:t>
      </w:r>
      <w:r>
        <w:rPr>
          <w:rFonts w:ascii="华文楷体" w:eastAsia="华文楷体" w:hAnsi="华文楷体" w:cs="华文楷体" w:hint="eastAsia"/>
        </w:rPr>
        <w:t>2800</w:t>
      </w:r>
      <w:r>
        <w:rPr>
          <w:rFonts w:ascii="华文楷体" w:eastAsia="华文楷体" w:hAnsi="华文楷体" w:cs="华文楷体" w:hint="eastAsia"/>
        </w:rPr>
        <w:t>家私募基金管理人管理的</w:t>
      </w:r>
      <w:r>
        <w:rPr>
          <w:rFonts w:ascii="华文楷体" w:eastAsia="华文楷体" w:hAnsi="华文楷体" w:cs="华文楷体" w:hint="eastAsia"/>
        </w:rPr>
        <w:t>7.3</w:t>
      </w:r>
      <w:r>
        <w:rPr>
          <w:rFonts w:ascii="华文楷体" w:eastAsia="华文楷体" w:hAnsi="华文楷体" w:cs="华文楷体" w:hint="eastAsia"/>
        </w:rPr>
        <w:t>万亿美元的情况相比，</w:t>
      </w:r>
      <w:r>
        <w:rPr>
          <w:rFonts w:ascii="华文楷体" w:eastAsia="华文楷体" w:hAnsi="华文楷体" w:cs="华文楷体" w:hint="eastAsia"/>
        </w:rPr>
        <w:t>多而不强，杂而不专，特别是一些机构鱼目混珠，利用私募基金名义从事非法集资业务，损害了投资者的利益，败坏了行业形象。</w:t>
      </w:r>
    </w:p>
    <w:p w14:paraId="769FA314" w14:textId="77777777" w:rsidR="00ED5EBF" w:rsidRDefault="00ED5EBF">
      <w:pPr>
        <w:rPr>
          <w:rFonts w:ascii="华文楷体" w:eastAsia="华文楷体" w:hAnsi="华文楷体" w:cs="华文楷体"/>
        </w:rPr>
      </w:pPr>
    </w:p>
    <w:p w14:paraId="65402768" w14:textId="77777777" w:rsidR="00ED5EBF" w:rsidRDefault="002034C8">
      <w:pPr>
        <w:ind w:firstLineChars="200" w:firstLine="480"/>
        <w:rPr>
          <w:rFonts w:ascii="华文楷体" w:eastAsia="华文楷体" w:hAnsi="华文楷体" w:cs="华文楷体"/>
        </w:rPr>
      </w:pPr>
      <w:r>
        <w:rPr>
          <w:rFonts w:ascii="华文楷体" w:eastAsia="华文楷体" w:hAnsi="华文楷体" w:cs="华文楷体" w:hint="eastAsia"/>
        </w:rPr>
        <w:t>会议强调，依法加强私募基金行业自律管理，努力推升行业执业标准向国际看齐，对私募基金行业长远健康发展，对维护投资者合法权益，对更好地服务实体经济都至关重要。一是要充分发挥会员的模范示范作用，严肃入会标准和程序，以最严格的执纪问责冲撞行业底线的会员机构，树立会员品牌和形象，有序引导私募基金管理人加入协会；二是要充分发挥行业自律调解的弹性优势，对于能够自行化解纠纷、消除不良影响的私募基金管理人，不</w:t>
      </w:r>
      <w:r>
        <w:rPr>
          <w:rFonts w:ascii="华文楷体" w:eastAsia="华文楷体" w:hAnsi="华文楷体" w:cs="华文楷体" w:hint="eastAsia"/>
        </w:rPr>
        <w:t>启动自律调查，不采取纪律处分措施；三是要坚守行业底线，维护行业秩序。已经被司法机关、监管部门认定开展违法犯罪活动，不再符合登记规定的，应当从快予以注销并依法追究有关从业人员责任。对于出现异常经营情形的非会员机构，要建立针对性的快速处理机制，要求其自行聘请律师事务所提交法律意见书，自负成本，自证清白，否则予以注销。</w:t>
      </w:r>
    </w:p>
    <w:p w14:paraId="6934A568" w14:textId="77777777" w:rsidR="00ED5EBF" w:rsidRDefault="00ED5EBF">
      <w:pPr>
        <w:rPr>
          <w:rFonts w:ascii="华文楷体" w:eastAsia="华文楷体" w:hAnsi="华文楷体" w:cs="华文楷体"/>
        </w:rPr>
      </w:pPr>
    </w:p>
    <w:p w14:paraId="23BA84D0" w14:textId="77777777" w:rsidR="00ED5EBF" w:rsidRDefault="002034C8">
      <w:pPr>
        <w:ind w:firstLineChars="200" w:firstLine="480"/>
        <w:rPr>
          <w:rFonts w:ascii="华文楷体" w:eastAsia="华文楷体" w:hAnsi="华文楷体" w:cs="华文楷体"/>
        </w:rPr>
      </w:pPr>
      <w:r>
        <w:rPr>
          <w:rFonts w:ascii="华文楷体" w:eastAsia="华文楷体" w:hAnsi="华文楷体" w:cs="华文楷体" w:hint="eastAsia"/>
        </w:rPr>
        <w:t>会议指出，协会《关于进一步规范私募基金管理人登记若干事项的公告》发布以来，已有</w:t>
      </w:r>
      <w:r>
        <w:rPr>
          <w:rFonts w:ascii="华文楷体" w:eastAsia="华文楷体" w:hAnsi="华文楷体" w:cs="华文楷体" w:hint="eastAsia"/>
        </w:rPr>
        <w:t>2654</w:t>
      </w:r>
      <w:r>
        <w:rPr>
          <w:rFonts w:ascii="华文楷体" w:eastAsia="华文楷体" w:hAnsi="华文楷体" w:cs="华文楷体" w:hint="eastAsia"/>
        </w:rPr>
        <w:t>家律师事务所累计共出具</w:t>
      </w:r>
      <w:r>
        <w:rPr>
          <w:rFonts w:ascii="华文楷体" w:eastAsia="华文楷体" w:hAnsi="华文楷体" w:cs="华文楷体" w:hint="eastAsia"/>
        </w:rPr>
        <w:t>16489</w:t>
      </w:r>
      <w:r>
        <w:rPr>
          <w:rFonts w:ascii="华文楷体" w:eastAsia="华文楷体" w:hAnsi="华文楷体" w:cs="华文楷体" w:hint="eastAsia"/>
        </w:rPr>
        <w:t>份法律意见书，律师事务所在规范登记秩序中发挥了重要作用。但是，也发现一些律师</w:t>
      </w:r>
      <w:r>
        <w:rPr>
          <w:rFonts w:ascii="华文楷体" w:eastAsia="华文楷体" w:hAnsi="华文楷体" w:cs="华文楷体" w:hint="eastAsia"/>
        </w:rPr>
        <w:t>事务所毫无执业能力，甚至存在“叫卖”法律意见书的情况。会议强调，要深入总结前期工作经验，充分发挥律师事务所基金行业和公众财富看门人的积极作用，趋利避害，一方面不再接受曾为非法集资机构出具法律意见书的律师事务所的法律意见书，另一方面吸收精通基金法律业务、执业质量和信誉有保障的律师事务所加入协会成为联席会员，建立健全会员律师事务所的执业标准体系，为全行业提供更加优质的基金法律服务。</w:t>
      </w:r>
    </w:p>
    <w:p w14:paraId="4585E6F8" w14:textId="77777777" w:rsidR="00ED5EBF" w:rsidRDefault="00ED5EBF">
      <w:pPr>
        <w:rPr>
          <w:rFonts w:ascii="华文楷体" w:eastAsia="华文楷体" w:hAnsi="华文楷体" w:cs="华文楷体"/>
        </w:rPr>
      </w:pPr>
    </w:p>
    <w:p w14:paraId="3CFA95E8" w14:textId="77777777" w:rsidR="00ED5EBF" w:rsidRDefault="002034C8">
      <w:pPr>
        <w:ind w:firstLineChars="200" w:firstLine="480"/>
        <w:rPr>
          <w:rFonts w:ascii="华文楷体" w:eastAsia="华文楷体" w:hAnsi="华文楷体" w:cs="华文楷体"/>
        </w:rPr>
      </w:pPr>
      <w:r>
        <w:rPr>
          <w:rFonts w:ascii="华文楷体" w:eastAsia="华文楷体" w:hAnsi="华文楷体" w:cs="华文楷体" w:hint="eastAsia"/>
        </w:rPr>
        <w:t>洪磊会长感谢与会专家的建言献策，将根据会议研究确定的思路，尽快形成相关自律规则和工作机制，按程序报告证监会和理事会表决后颁布实施</w:t>
      </w:r>
      <w:r>
        <w:rPr>
          <w:rFonts w:ascii="华文楷体" w:eastAsia="华文楷体" w:hAnsi="华文楷体" w:cs="华文楷体" w:hint="eastAsia"/>
        </w:rPr>
        <w:t>。</w:t>
      </w:r>
      <w:r>
        <w:rPr>
          <w:rFonts w:ascii="华文楷体" w:eastAsia="华文楷体" w:hAnsi="华文楷体" w:cs="华文楷体" w:hint="eastAsia"/>
        </w:rPr>
        <w:t>2018</w:t>
      </w:r>
      <w:r>
        <w:rPr>
          <w:rFonts w:ascii="华文楷体" w:eastAsia="华文楷体" w:hAnsi="华文楷体" w:cs="华文楷体" w:hint="eastAsia"/>
        </w:rPr>
        <w:t>年，协会的自律工作将不忘初心，继续前进，聚焦私募基金，全面依法加强行业自律，积极发挥行业自律在防范化解金融风险攻坚战中的重要作用，引导和督促基金行业回归资产管理本源，推动行业长远健康发展。</w:t>
      </w:r>
    </w:p>
    <w:p w14:paraId="7455A8A4" w14:textId="77777777" w:rsidR="00ED5EBF" w:rsidRDefault="00ED5EBF">
      <w:pPr>
        <w:rPr>
          <w:rFonts w:ascii="华文楷体" w:eastAsia="华文楷体" w:hAnsi="华文楷体" w:cs="华文楷体"/>
        </w:rPr>
      </w:pPr>
    </w:p>
    <w:p w14:paraId="153380BC" w14:textId="77777777" w:rsidR="00ED5EBF" w:rsidRDefault="00ED5EBF">
      <w:pPr>
        <w:rPr>
          <w:rFonts w:ascii="华文楷体" w:eastAsia="华文楷体" w:hAnsi="华文楷体" w:cs="华文楷体"/>
        </w:rPr>
      </w:pPr>
    </w:p>
    <w:p w14:paraId="73DE6829" w14:textId="77777777" w:rsidR="00ED5EBF" w:rsidRDefault="002034C8">
      <w:pPr>
        <w:rPr>
          <w:rFonts w:ascii="华文楷体" w:eastAsia="华文楷体" w:hAnsi="华文楷体" w:cs="华文楷体"/>
        </w:rPr>
      </w:pPr>
      <w:r>
        <w:rPr>
          <w:rFonts w:ascii="华文楷体" w:eastAsia="华文楷体" w:hAnsi="华文楷体" w:cs="华文楷体" w:hint="eastAsia"/>
        </w:rPr>
        <w:t>附：</w:t>
      </w:r>
    </w:p>
    <w:p w14:paraId="364EF21E" w14:textId="77777777" w:rsidR="00ED5EBF" w:rsidRDefault="002034C8">
      <w:pPr>
        <w:rPr>
          <w:rFonts w:ascii="华文楷体" w:eastAsia="华文楷体" w:hAnsi="华文楷体" w:cs="华文楷体"/>
          <w:b/>
          <w:bCs/>
        </w:rPr>
      </w:pPr>
      <w:r>
        <w:rPr>
          <w:rFonts w:ascii="华文楷体" w:eastAsia="华文楷体" w:hAnsi="华文楷体" w:cs="华文楷体" w:hint="eastAsia"/>
          <w:b/>
          <w:bCs/>
        </w:rPr>
        <w:t>中国证券投资基金业协会自律监察委员会和法制工作委员会联席会议出席名单</w:t>
      </w:r>
    </w:p>
    <w:p w14:paraId="0DAB413E" w14:textId="77777777" w:rsidR="00ED5EBF" w:rsidRDefault="00ED5EBF">
      <w:pPr>
        <w:rPr>
          <w:rFonts w:ascii="华文楷体" w:eastAsia="华文楷体" w:hAnsi="华文楷体" w:cs="华文楷体"/>
        </w:rPr>
      </w:pPr>
    </w:p>
    <w:p w14:paraId="7DF2A0EA" w14:textId="77777777" w:rsidR="00ED5EBF" w:rsidRDefault="002034C8">
      <w:pPr>
        <w:jc w:val="center"/>
        <w:rPr>
          <w:rFonts w:ascii="华文楷体" w:eastAsia="华文楷体" w:hAnsi="华文楷体" w:cs="华文楷体"/>
        </w:rPr>
      </w:pPr>
      <w:r>
        <w:rPr>
          <w:rFonts w:ascii="华文楷体" w:eastAsia="华文楷体" w:hAnsi="华文楷体" w:cs="华文楷体" w:hint="eastAsia"/>
          <w:b/>
          <w:bCs/>
        </w:rPr>
        <w:t>中国证券投资基金业协会法制工作委员会</w:t>
      </w:r>
    </w:p>
    <w:p w14:paraId="60143674"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一、主席</w:t>
      </w:r>
    </w:p>
    <w:p w14:paraId="0279ED51" w14:textId="77777777" w:rsidR="00ED5EBF" w:rsidRDefault="002034C8">
      <w:pPr>
        <w:rPr>
          <w:rFonts w:ascii="华文楷体" w:eastAsia="华文楷体" w:hAnsi="华文楷体" w:cs="华文楷体"/>
        </w:rPr>
      </w:pPr>
      <w:r>
        <w:rPr>
          <w:rFonts w:ascii="华文楷体" w:eastAsia="华文楷体" w:hAnsi="华文楷体" w:cs="华文楷体" w:hint="eastAsia"/>
        </w:rPr>
        <w:t>赵学军</w:t>
      </w:r>
      <w:r>
        <w:rPr>
          <w:rFonts w:ascii="华文楷体" w:eastAsia="华文楷体" w:hAnsi="华文楷体" w:cs="华文楷体" w:hint="eastAsia"/>
        </w:rPr>
        <w:t xml:space="preserve"> </w:t>
      </w:r>
      <w:r>
        <w:rPr>
          <w:rFonts w:ascii="华文楷体" w:eastAsia="华文楷体" w:hAnsi="华文楷体" w:cs="华文楷体" w:hint="eastAsia"/>
        </w:rPr>
        <w:t>嘉实基金管理有限公司董事长、兼职副会长</w:t>
      </w:r>
    </w:p>
    <w:p w14:paraId="1A91E27E" w14:textId="77777777" w:rsidR="00ED5EBF" w:rsidRDefault="002034C8">
      <w:pPr>
        <w:rPr>
          <w:rFonts w:ascii="华文楷体" w:eastAsia="华文楷体" w:hAnsi="华文楷体" w:cs="华文楷体"/>
        </w:rPr>
      </w:pPr>
      <w:r>
        <w:rPr>
          <w:rFonts w:ascii="华文楷体" w:eastAsia="华文楷体" w:hAnsi="华文楷体" w:cs="华文楷体" w:hint="eastAsia"/>
        </w:rPr>
        <w:t>二、联席主席</w:t>
      </w:r>
    </w:p>
    <w:p w14:paraId="69AAB9BD" w14:textId="77777777" w:rsidR="00ED5EBF" w:rsidRDefault="002034C8">
      <w:pPr>
        <w:rPr>
          <w:rFonts w:ascii="华文楷体" w:eastAsia="华文楷体" w:hAnsi="华文楷体" w:cs="华文楷体"/>
        </w:rPr>
      </w:pPr>
      <w:r>
        <w:rPr>
          <w:rFonts w:ascii="华文楷体" w:eastAsia="华文楷体" w:hAnsi="华文楷体" w:cs="华文楷体" w:hint="eastAsia"/>
        </w:rPr>
        <w:t>莫泰山</w:t>
      </w:r>
      <w:r>
        <w:rPr>
          <w:rFonts w:ascii="华文楷体" w:eastAsia="华文楷体" w:hAnsi="华文楷体" w:cs="华文楷体" w:hint="eastAsia"/>
        </w:rPr>
        <w:t xml:space="preserve"> </w:t>
      </w:r>
      <w:r>
        <w:rPr>
          <w:rFonts w:ascii="华文楷体" w:eastAsia="华文楷体" w:hAnsi="华文楷体" w:cs="华文楷体" w:hint="eastAsia"/>
        </w:rPr>
        <w:t>上海博道投资公司董事长</w:t>
      </w:r>
    </w:p>
    <w:p w14:paraId="55A480D1" w14:textId="77777777" w:rsidR="00ED5EBF" w:rsidRDefault="002034C8">
      <w:pPr>
        <w:rPr>
          <w:rFonts w:ascii="华文楷体" w:eastAsia="华文楷体" w:hAnsi="华文楷体" w:cs="华文楷体"/>
        </w:rPr>
      </w:pPr>
      <w:r>
        <w:rPr>
          <w:rFonts w:ascii="华文楷体" w:eastAsia="华文楷体" w:hAnsi="华文楷体" w:cs="华文楷体" w:hint="eastAsia"/>
        </w:rPr>
        <w:t>张学兵</w:t>
      </w:r>
      <w:r>
        <w:rPr>
          <w:rFonts w:ascii="华文楷体" w:eastAsia="华文楷体" w:hAnsi="华文楷体" w:cs="华文楷体" w:hint="eastAsia"/>
        </w:rPr>
        <w:t xml:space="preserve"> </w:t>
      </w:r>
      <w:r>
        <w:rPr>
          <w:rFonts w:ascii="华文楷体" w:eastAsia="华文楷体" w:hAnsi="华文楷体" w:cs="华文楷体" w:hint="eastAsia"/>
        </w:rPr>
        <w:t>中伦律师事务所创始合伙人，中华全国律师协会副会长</w:t>
      </w:r>
    </w:p>
    <w:p w14:paraId="22EEC71E" w14:textId="77777777" w:rsidR="00ED5EBF" w:rsidRDefault="002034C8">
      <w:pPr>
        <w:rPr>
          <w:rFonts w:ascii="华文楷体" w:eastAsia="华文楷体" w:hAnsi="华文楷体" w:cs="华文楷体"/>
        </w:rPr>
      </w:pPr>
      <w:r>
        <w:rPr>
          <w:rFonts w:ascii="华文楷体" w:eastAsia="华文楷体" w:hAnsi="华文楷体" w:cs="华文楷体" w:hint="eastAsia"/>
        </w:rPr>
        <w:t>三、委员</w:t>
      </w:r>
    </w:p>
    <w:p w14:paraId="3D5980AC" w14:textId="77777777" w:rsidR="00ED5EBF" w:rsidRDefault="002034C8">
      <w:pPr>
        <w:rPr>
          <w:rFonts w:ascii="华文楷体" w:eastAsia="华文楷体" w:hAnsi="华文楷体" w:cs="华文楷体"/>
        </w:rPr>
      </w:pPr>
      <w:r>
        <w:rPr>
          <w:rFonts w:ascii="华文楷体" w:eastAsia="华文楷体" w:hAnsi="华文楷体" w:cs="华文楷体" w:hint="eastAsia"/>
        </w:rPr>
        <w:t>陈</w:t>
      </w:r>
      <w:r>
        <w:rPr>
          <w:rFonts w:ascii="华文楷体" w:eastAsia="华文楷体" w:hAnsi="华文楷体" w:cs="华文楷体" w:hint="eastAsia"/>
        </w:rPr>
        <w:t xml:space="preserve">    </w:t>
      </w:r>
      <w:r>
        <w:rPr>
          <w:rFonts w:ascii="华文楷体" w:eastAsia="华文楷体" w:hAnsi="华文楷体" w:cs="华文楷体" w:hint="eastAsia"/>
        </w:rPr>
        <w:t>婷</w:t>
      </w:r>
      <w:r>
        <w:rPr>
          <w:rFonts w:ascii="华文楷体" w:eastAsia="华文楷体" w:hAnsi="华文楷体" w:cs="华文楷体" w:hint="eastAsia"/>
        </w:rPr>
        <w:t xml:space="preserve"> </w:t>
      </w:r>
      <w:r>
        <w:rPr>
          <w:rFonts w:ascii="华文楷体" w:eastAsia="华文楷体" w:hAnsi="华文楷体" w:cs="华文楷体" w:hint="eastAsia"/>
        </w:rPr>
        <w:t>贝莱德海外投资基金管理（上海）有限公司总经理</w:t>
      </w:r>
    </w:p>
    <w:p w14:paraId="2DAA17DC" w14:textId="77777777" w:rsidR="00ED5EBF" w:rsidRDefault="002034C8">
      <w:pPr>
        <w:rPr>
          <w:rFonts w:ascii="华文楷体" w:eastAsia="华文楷体" w:hAnsi="华文楷体" w:cs="华文楷体"/>
        </w:rPr>
      </w:pPr>
      <w:r>
        <w:rPr>
          <w:rFonts w:ascii="华文楷体" w:eastAsia="华文楷体" w:hAnsi="华文楷体" w:cs="华文楷体" w:hint="eastAsia"/>
        </w:rPr>
        <w:t>邓</w:t>
      </w:r>
      <w:r>
        <w:rPr>
          <w:rFonts w:ascii="华文楷体" w:eastAsia="华文楷体" w:hAnsi="华文楷体" w:cs="华文楷体" w:hint="eastAsia"/>
        </w:rPr>
        <w:t xml:space="preserve">    </w:t>
      </w:r>
      <w:r>
        <w:rPr>
          <w:rFonts w:ascii="华文楷体" w:eastAsia="华文楷体" w:hAnsi="华文楷体" w:cs="华文楷体" w:hint="eastAsia"/>
        </w:rPr>
        <w:t>琪</w:t>
      </w:r>
      <w:r>
        <w:rPr>
          <w:rFonts w:ascii="华文楷体" w:eastAsia="华文楷体" w:hAnsi="华文楷体" w:cs="华文楷体" w:hint="eastAsia"/>
        </w:rPr>
        <w:t xml:space="preserve"> </w:t>
      </w:r>
      <w:r>
        <w:rPr>
          <w:rFonts w:ascii="华文楷体" w:eastAsia="华文楷体" w:hAnsi="华文楷体" w:cs="华文楷体" w:hint="eastAsia"/>
        </w:rPr>
        <w:t>国开证券有限责任公司副总裁</w:t>
      </w:r>
    </w:p>
    <w:p w14:paraId="7162106F" w14:textId="77777777" w:rsidR="00ED5EBF" w:rsidRDefault="002034C8">
      <w:pPr>
        <w:rPr>
          <w:rFonts w:ascii="华文楷体" w:eastAsia="华文楷体" w:hAnsi="华文楷体" w:cs="华文楷体"/>
        </w:rPr>
      </w:pPr>
      <w:r>
        <w:rPr>
          <w:rFonts w:ascii="华文楷体" w:eastAsia="华文楷体" w:hAnsi="华文楷体" w:cs="华文楷体" w:hint="eastAsia"/>
        </w:rPr>
        <w:t>冯</w:t>
      </w:r>
      <w:r>
        <w:rPr>
          <w:rFonts w:ascii="华文楷体" w:eastAsia="华文楷体" w:hAnsi="华文楷体" w:cs="华文楷体" w:hint="eastAsia"/>
        </w:rPr>
        <w:t xml:space="preserve">    </w:t>
      </w:r>
      <w:r>
        <w:rPr>
          <w:rFonts w:ascii="华文楷体" w:eastAsia="华文楷体" w:hAnsi="华文楷体" w:cs="华文楷体" w:hint="eastAsia"/>
        </w:rPr>
        <w:t>果</w:t>
      </w:r>
      <w:r>
        <w:rPr>
          <w:rFonts w:ascii="华文楷体" w:eastAsia="华文楷体" w:hAnsi="华文楷体" w:cs="华文楷体" w:hint="eastAsia"/>
        </w:rPr>
        <w:t xml:space="preserve"> </w:t>
      </w:r>
      <w:r>
        <w:rPr>
          <w:rFonts w:ascii="华文楷体" w:eastAsia="华文楷体" w:hAnsi="华文楷体" w:cs="华文楷体" w:hint="eastAsia"/>
        </w:rPr>
        <w:t>武汉大学法学院院长、教授，原最高人民法院审判监督庭副庭长</w:t>
      </w:r>
    </w:p>
    <w:p w14:paraId="5A1D7765" w14:textId="77777777" w:rsidR="00ED5EBF" w:rsidRDefault="002034C8">
      <w:pPr>
        <w:rPr>
          <w:rFonts w:ascii="华文楷体" w:eastAsia="华文楷体" w:hAnsi="华文楷体" w:cs="华文楷体"/>
        </w:rPr>
      </w:pPr>
      <w:r>
        <w:rPr>
          <w:rFonts w:ascii="华文楷体" w:eastAsia="华文楷体" w:hAnsi="华文楷体" w:cs="华文楷体" w:hint="eastAsia"/>
        </w:rPr>
        <w:t>郭</w:t>
      </w:r>
      <w:r>
        <w:rPr>
          <w:rFonts w:ascii="华文楷体" w:eastAsia="华文楷体" w:hAnsi="华文楷体" w:cs="华文楷体" w:hint="eastAsia"/>
        </w:rPr>
        <w:t xml:space="preserve">    </w:t>
      </w:r>
      <w:r>
        <w:rPr>
          <w:rFonts w:ascii="华文楷体" w:eastAsia="华文楷体" w:hAnsi="华文楷体" w:cs="华文楷体" w:hint="eastAsia"/>
        </w:rPr>
        <w:t>雳</w:t>
      </w:r>
      <w:r>
        <w:rPr>
          <w:rFonts w:ascii="华文楷体" w:eastAsia="华文楷体" w:hAnsi="华文楷体" w:cs="华文楷体" w:hint="eastAsia"/>
        </w:rPr>
        <w:t xml:space="preserve"> </w:t>
      </w:r>
      <w:r>
        <w:rPr>
          <w:rFonts w:ascii="华文楷体" w:eastAsia="华文楷体" w:hAnsi="华文楷体" w:cs="华文楷体" w:hint="eastAsia"/>
        </w:rPr>
        <w:t>北京大学法学院副院长、教授</w:t>
      </w:r>
    </w:p>
    <w:p w14:paraId="377A4E4F" w14:textId="77777777" w:rsidR="00ED5EBF" w:rsidRDefault="002034C8">
      <w:pPr>
        <w:rPr>
          <w:rFonts w:ascii="华文楷体" w:eastAsia="华文楷体" w:hAnsi="华文楷体" w:cs="华文楷体"/>
        </w:rPr>
      </w:pPr>
      <w:r>
        <w:rPr>
          <w:rFonts w:ascii="华文楷体" w:eastAsia="华文楷体" w:hAnsi="华文楷体" w:cs="华文楷体" w:hint="eastAsia"/>
        </w:rPr>
        <w:t>甘培忠</w:t>
      </w:r>
      <w:r>
        <w:rPr>
          <w:rFonts w:ascii="华文楷体" w:eastAsia="华文楷体" w:hAnsi="华文楷体" w:cs="华文楷体" w:hint="eastAsia"/>
        </w:rPr>
        <w:t xml:space="preserve"> </w:t>
      </w:r>
      <w:r>
        <w:rPr>
          <w:rFonts w:ascii="华文楷体" w:eastAsia="华文楷体" w:hAnsi="华文楷体" w:cs="华文楷体" w:hint="eastAsia"/>
        </w:rPr>
        <w:t>北京大学法学院教授</w:t>
      </w:r>
    </w:p>
    <w:p w14:paraId="6A1B06C3" w14:textId="77777777" w:rsidR="00ED5EBF" w:rsidRDefault="002034C8">
      <w:pPr>
        <w:rPr>
          <w:rFonts w:ascii="华文楷体" w:eastAsia="华文楷体" w:hAnsi="华文楷体" w:cs="华文楷体"/>
        </w:rPr>
      </w:pPr>
      <w:r>
        <w:rPr>
          <w:rFonts w:ascii="华文楷体" w:eastAsia="华文楷体" w:hAnsi="华文楷体" w:cs="华文楷体" w:hint="eastAsia"/>
        </w:rPr>
        <w:t>刘</w:t>
      </w:r>
      <w:r>
        <w:rPr>
          <w:rFonts w:ascii="华文楷体" w:eastAsia="华文楷体" w:hAnsi="华文楷体" w:cs="华文楷体" w:hint="eastAsia"/>
        </w:rPr>
        <w:t xml:space="preserve">    </w:t>
      </w:r>
      <w:r>
        <w:rPr>
          <w:rFonts w:ascii="华文楷体" w:eastAsia="华文楷体" w:hAnsi="华文楷体" w:cs="华文楷体" w:hint="eastAsia"/>
        </w:rPr>
        <w:t>燕</w:t>
      </w:r>
      <w:r>
        <w:rPr>
          <w:rFonts w:ascii="华文楷体" w:eastAsia="华文楷体" w:hAnsi="华文楷体" w:cs="华文楷体" w:hint="eastAsia"/>
        </w:rPr>
        <w:t xml:space="preserve"> </w:t>
      </w:r>
      <w:r>
        <w:rPr>
          <w:rFonts w:ascii="华文楷体" w:eastAsia="华文楷体" w:hAnsi="华文楷体" w:cs="华文楷体" w:hint="eastAsia"/>
        </w:rPr>
        <w:t>北京大学法学院教授</w:t>
      </w:r>
    </w:p>
    <w:p w14:paraId="29DF4D6B" w14:textId="77777777" w:rsidR="00ED5EBF" w:rsidRDefault="002034C8">
      <w:pPr>
        <w:rPr>
          <w:rFonts w:ascii="华文楷体" w:eastAsia="华文楷体" w:hAnsi="华文楷体" w:cs="华文楷体"/>
        </w:rPr>
      </w:pPr>
      <w:r>
        <w:rPr>
          <w:rFonts w:ascii="华文楷体" w:eastAsia="华文楷体" w:hAnsi="华文楷体" w:cs="华文楷体" w:hint="eastAsia"/>
        </w:rPr>
        <w:t>雷继平</w:t>
      </w:r>
      <w:r>
        <w:rPr>
          <w:rFonts w:ascii="华文楷体" w:eastAsia="华文楷体" w:hAnsi="华文楷体" w:cs="华文楷体" w:hint="eastAsia"/>
        </w:rPr>
        <w:t xml:space="preserve"> </w:t>
      </w:r>
      <w:r>
        <w:rPr>
          <w:rFonts w:ascii="华文楷体" w:eastAsia="华文楷体" w:hAnsi="华文楷体" w:cs="华文楷体" w:hint="eastAsia"/>
        </w:rPr>
        <w:t>金杜律师事务所合伙人，原最高人民法院高级法官、民二庭审判长</w:t>
      </w:r>
    </w:p>
    <w:p w14:paraId="76A9CEE5" w14:textId="77777777" w:rsidR="00ED5EBF" w:rsidRDefault="002034C8">
      <w:pPr>
        <w:rPr>
          <w:rFonts w:ascii="华文楷体" w:eastAsia="华文楷体" w:hAnsi="华文楷体" w:cs="华文楷体"/>
        </w:rPr>
      </w:pPr>
      <w:r>
        <w:rPr>
          <w:rFonts w:ascii="华文楷体" w:eastAsia="华文楷体" w:hAnsi="华文楷体" w:cs="华文楷体" w:hint="eastAsia"/>
        </w:rPr>
        <w:t>林</w:t>
      </w:r>
      <w:r>
        <w:rPr>
          <w:rFonts w:ascii="华文楷体" w:eastAsia="华文楷体" w:hAnsi="华文楷体" w:cs="华文楷体" w:hint="eastAsia"/>
        </w:rPr>
        <w:t xml:space="preserve">    </w:t>
      </w:r>
      <w:r>
        <w:rPr>
          <w:rFonts w:ascii="华文楷体" w:eastAsia="华文楷体" w:hAnsi="华文楷体" w:cs="华文楷体" w:hint="eastAsia"/>
        </w:rPr>
        <w:t>虹</w:t>
      </w:r>
      <w:r>
        <w:rPr>
          <w:rFonts w:ascii="华文楷体" w:eastAsia="华文楷体" w:hAnsi="华文楷体" w:cs="华文楷体" w:hint="eastAsia"/>
        </w:rPr>
        <w:t xml:space="preserve"> </w:t>
      </w:r>
      <w:r>
        <w:rPr>
          <w:rFonts w:ascii="华文楷体" w:eastAsia="华文楷体" w:hAnsi="华文楷体" w:cs="华文楷体" w:hint="eastAsia"/>
        </w:rPr>
        <w:t>北京海峰科技有限公司总经理</w:t>
      </w:r>
    </w:p>
    <w:p w14:paraId="6B731CE7" w14:textId="77777777" w:rsidR="00ED5EBF" w:rsidRDefault="002034C8">
      <w:pPr>
        <w:rPr>
          <w:rFonts w:ascii="华文楷体" w:eastAsia="华文楷体" w:hAnsi="华文楷体" w:cs="华文楷体"/>
        </w:rPr>
      </w:pPr>
      <w:r>
        <w:rPr>
          <w:rFonts w:ascii="华文楷体" w:eastAsia="华文楷体" w:hAnsi="华文楷体" w:cs="华文楷体" w:hint="eastAsia"/>
        </w:rPr>
        <w:t>钱列阳</w:t>
      </w:r>
      <w:r>
        <w:rPr>
          <w:rFonts w:ascii="华文楷体" w:eastAsia="华文楷体" w:hAnsi="华文楷体" w:cs="华文楷体" w:hint="eastAsia"/>
        </w:rPr>
        <w:t xml:space="preserve"> </w:t>
      </w:r>
      <w:r>
        <w:rPr>
          <w:rFonts w:ascii="华文楷体" w:eastAsia="华文楷体" w:hAnsi="华文楷体" w:cs="华文楷体" w:hint="eastAsia"/>
        </w:rPr>
        <w:t>北京天达共和律师事务所合伙人</w:t>
      </w:r>
    </w:p>
    <w:p w14:paraId="3A28B18B" w14:textId="77777777" w:rsidR="00ED5EBF" w:rsidRDefault="002034C8">
      <w:pPr>
        <w:rPr>
          <w:rFonts w:ascii="华文楷体" w:eastAsia="华文楷体" w:hAnsi="华文楷体" w:cs="华文楷体"/>
        </w:rPr>
      </w:pPr>
      <w:r>
        <w:rPr>
          <w:rFonts w:ascii="华文楷体" w:eastAsia="华文楷体" w:hAnsi="华文楷体" w:cs="华文楷体" w:hint="eastAsia"/>
        </w:rPr>
        <w:t>宋萍萍</w:t>
      </w:r>
      <w:r>
        <w:rPr>
          <w:rFonts w:ascii="华文楷体" w:eastAsia="华文楷体" w:hAnsi="华文楷体" w:cs="华文楷体" w:hint="eastAsia"/>
        </w:rPr>
        <w:t xml:space="preserve"> </w:t>
      </w:r>
      <w:r>
        <w:rPr>
          <w:rFonts w:ascii="华文楷体" w:eastAsia="华文楷体" w:hAnsi="华文楷体" w:cs="华文楷体" w:hint="eastAsia"/>
        </w:rPr>
        <w:t>深圳市东方富海投资管理公司董事、风控委主任</w:t>
      </w:r>
    </w:p>
    <w:p w14:paraId="4630036D" w14:textId="77777777" w:rsidR="00ED5EBF" w:rsidRDefault="002034C8">
      <w:pPr>
        <w:rPr>
          <w:rFonts w:ascii="华文楷体" w:eastAsia="华文楷体" w:hAnsi="华文楷体" w:cs="华文楷体"/>
        </w:rPr>
      </w:pPr>
      <w:r>
        <w:rPr>
          <w:rFonts w:ascii="华文楷体" w:eastAsia="华文楷体" w:hAnsi="华文楷体" w:cs="华文楷体" w:hint="eastAsia"/>
        </w:rPr>
        <w:t>王</w:t>
      </w:r>
      <w:r>
        <w:rPr>
          <w:rFonts w:ascii="华文楷体" w:eastAsia="华文楷体" w:hAnsi="华文楷体" w:cs="华文楷体" w:hint="eastAsia"/>
        </w:rPr>
        <w:t xml:space="preserve">    </w:t>
      </w:r>
      <w:r>
        <w:rPr>
          <w:rFonts w:ascii="华文楷体" w:eastAsia="华文楷体" w:hAnsi="华文楷体" w:cs="华文楷体" w:hint="eastAsia"/>
        </w:rPr>
        <w:t>涌</w:t>
      </w:r>
      <w:r>
        <w:rPr>
          <w:rFonts w:ascii="华文楷体" w:eastAsia="华文楷体" w:hAnsi="华文楷体" w:cs="华文楷体" w:hint="eastAsia"/>
        </w:rPr>
        <w:t xml:space="preserve"> </w:t>
      </w:r>
      <w:r>
        <w:rPr>
          <w:rFonts w:ascii="华文楷体" w:eastAsia="华文楷体" w:hAnsi="华文楷体" w:cs="华文楷体" w:hint="eastAsia"/>
        </w:rPr>
        <w:t>中国政法大学民商经济法学院教授</w:t>
      </w:r>
    </w:p>
    <w:p w14:paraId="3B0055F3" w14:textId="77777777" w:rsidR="00ED5EBF" w:rsidRDefault="002034C8">
      <w:pPr>
        <w:rPr>
          <w:rFonts w:ascii="华文楷体" w:eastAsia="华文楷体" w:hAnsi="华文楷体" w:cs="华文楷体"/>
        </w:rPr>
      </w:pPr>
      <w:r>
        <w:rPr>
          <w:rFonts w:ascii="华文楷体" w:eastAsia="华文楷体" w:hAnsi="华文楷体" w:cs="华文楷体" w:hint="eastAsia"/>
        </w:rPr>
        <w:t>张</w:t>
      </w:r>
      <w:r>
        <w:rPr>
          <w:rFonts w:ascii="华文楷体" w:eastAsia="华文楷体" w:hAnsi="华文楷体" w:cs="华文楷体" w:hint="eastAsia"/>
        </w:rPr>
        <w:t xml:space="preserve">    </w:t>
      </w:r>
      <w:r>
        <w:rPr>
          <w:rFonts w:ascii="华文楷体" w:eastAsia="华文楷体" w:hAnsi="华文楷体" w:cs="华文楷体" w:hint="eastAsia"/>
        </w:rPr>
        <w:t>顺</w:t>
      </w:r>
      <w:r>
        <w:rPr>
          <w:rFonts w:ascii="华文楷体" w:eastAsia="华文楷体" w:hAnsi="华文楷体" w:cs="华文楷体" w:hint="eastAsia"/>
        </w:rPr>
        <w:t xml:space="preserve"> </w:t>
      </w:r>
      <w:r>
        <w:rPr>
          <w:rFonts w:ascii="华文楷体" w:eastAsia="华文楷体" w:hAnsi="华文楷体" w:cs="华文楷体" w:hint="eastAsia"/>
        </w:rPr>
        <w:t>新天域资本合伙人</w:t>
      </w:r>
    </w:p>
    <w:p w14:paraId="16EE0D97" w14:textId="77777777" w:rsidR="00ED5EBF" w:rsidRDefault="002034C8">
      <w:pPr>
        <w:jc w:val="center"/>
        <w:rPr>
          <w:rFonts w:ascii="华文楷体" w:eastAsia="华文楷体" w:hAnsi="华文楷体" w:cs="华文楷体"/>
          <w:b/>
          <w:bCs/>
        </w:rPr>
      </w:pPr>
      <w:bookmarkStart w:id="46" w:name="中国证券投资基金业协会自律监察委员会"/>
      <w:r>
        <w:rPr>
          <w:rFonts w:ascii="华文楷体" w:eastAsia="华文楷体" w:hAnsi="华文楷体" w:cs="华文楷体" w:hint="eastAsia"/>
          <w:b/>
          <w:bCs/>
        </w:rPr>
        <w:t>中国证券投资基金业协会自律监察委员会</w:t>
      </w:r>
    </w:p>
    <w:bookmarkEnd w:id="46"/>
    <w:p w14:paraId="458C2A2E" w14:textId="77777777" w:rsidR="00ED5EBF" w:rsidRDefault="00ED5EBF">
      <w:pPr>
        <w:rPr>
          <w:rFonts w:ascii="华文楷体" w:eastAsia="华文楷体" w:hAnsi="华文楷体" w:cs="华文楷体"/>
        </w:rPr>
      </w:pPr>
    </w:p>
    <w:p w14:paraId="2D3AF5C3" w14:textId="77777777" w:rsidR="00ED5EBF" w:rsidRDefault="002034C8">
      <w:pPr>
        <w:rPr>
          <w:rFonts w:ascii="华文楷体" w:eastAsia="华文楷体" w:hAnsi="华文楷体" w:cs="华文楷体"/>
        </w:rPr>
      </w:pPr>
      <w:r>
        <w:rPr>
          <w:rFonts w:ascii="华文楷体" w:eastAsia="华文楷体" w:hAnsi="华文楷体" w:cs="华文楷体" w:hint="eastAsia"/>
        </w:rPr>
        <w:t xml:space="preserve"> </w:t>
      </w:r>
      <w:r>
        <w:rPr>
          <w:rFonts w:ascii="华文楷体" w:eastAsia="华文楷体" w:hAnsi="华文楷体" w:cs="华文楷体" w:hint="eastAsia"/>
        </w:rPr>
        <w:t>一、主席</w:t>
      </w:r>
    </w:p>
    <w:p w14:paraId="49F30584" w14:textId="77777777" w:rsidR="00ED5EBF" w:rsidRDefault="002034C8">
      <w:pPr>
        <w:rPr>
          <w:rFonts w:ascii="华文楷体" w:eastAsia="华文楷体" w:hAnsi="华文楷体" w:cs="华文楷体"/>
        </w:rPr>
      </w:pPr>
      <w:r>
        <w:rPr>
          <w:rFonts w:ascii="华文楷体" w:eastAsia="华文楷体" w:hAnsi="华文楷体" w:cs="华文楷体" w:hint="eastAsia"/>
        </w:rPr>
        <w:t>郭特华</w:t>
      </w:r>
      <w:r>
        <w:rPr>
          <w:rFonts w:ascii="华文楷体" w:eastAsia="华文楷体" w:hAnsi="华文楷体" w:cs="华文楷体" w:hint="eastAsia"/>
        </w:rPr>
        <w:t xml:space="preserve"> </w:t>
      </w:r>
      <w:r>
        <w:rPr>
          <w:rFonts w:ascii="华文楷体" w:eastAsia="华文楷体" w:hAnsi="华文楷体" w:cs="华文楷体" w:hint="eastAsia"/>
        </w:rPr>
        <w:t>工银瑞信基金管理公司总经理、兼职副会长</w:t>
      </w:r>
    </w:p>
    <w:p w14:paraId="0B278454" w14:textId="77777777" w:rsidR="00ED5EBF" w:rsidRDefault="002034C8">
      <w:pPr>
        <w:rPr>
          <w:rFonts w:ascii="华文楷体" w:eastAsia="华文楷体" w:hAnsi="华文楷体" w:cs="华文楷体"/>
        </w:rPr>
      </w:pPr>
      <w:r>
        <w:rPr>
          <w:rFonts w:ascii="华文楷体" w:eastAsia="华文楷体" w:hAnsi="华文楷体" w:cs="华文楷体" w:hint="eastAsia"/>
        </w:rPr>
        <w:t>二、联席主席</w:t>
      </w:r>
    </w:p>
    <w:p w14:paraId="060C4929" w14:textId="77777777" w:rsidR="00ED5EBF" w:rsidRDefault="002034C8">
      <w:pPr>
        <w:rPr>
          <w:rFonts w:ascii="华文楷体" w:eastAsia="华文楷体" w:hAnsi="华文楷体" w:cs="华文楷体"/>
        </w:rPr>
      </w:pPr>
      <w:r>
        <w:rPr>
          <w:rFonts w:ascii="华文楷体" w:eastAsia="华文楷体" w:hAnsi="华文楷体" w:cs="华文楷体" w:hint="eastAsia"/>
        </w:rPr>
        <w:t>罗</w:t>
      </w:r>
      <w:r>
        <w:rPr>
          <w:rFonts w:ascii="华文楷体" w:eastAsia="华文楷体" w:hAnsi="华文楷体" w:cs="华文楷体" w:hint="eastAsia"/>
        </w:rPr>
        <w:t xml:space="preserve">    </w:t>
      </w:r>
      <w:r>
        <w:rPr>
          <w:rFonts w:ascii="华文楷体" w:eastAsia="华文楷体" w:hAnsi="华文楷体" w:cs="华文楷体" w:hint="eastAsia"/>
        </w:rPr>
        <w:t>茁</w:t>
      </w:r>
      <w:r>
        <w:rPr>
          <w:rFonts w:ascii="华文楷体" w:eastAsia="华文楷体" w:hAnsi="华文楷体" w:cs="华文楷体" w:hint="eastAsia"/>
        </w:rPr>
        <w:t xml:space="preserve"> </w:t>
      </w:r>
      <w:r>
        <w:rPr>
          <w:rFonts w:ascii="华文楷体" w:eastAsia="华文楷体" w:hAnsi="华文楷体" w:cs="华文楷体" w:hint="eastAsia"/>
        </w:rPr>
        <w:t>清控银杏创业投资管理（北京）有限公司董事长、合伙人</w:t>
      </w:r>
    </w:p>
    <w:p w14:paraId="205F57AE" w14:textId="77777777" w:rsidR="00ED5EBF" w:rsidRDefault="002034C8">
      <w:pPr>
        <w:rPr>
          <w:rFonts w:ascii="华文楷体" w:eastAsia="华文楷体" w:hAnsi="华文楷体" w:cs="华文楷体"/>
        </w:rPr>
      </w:pPr>
      <w:r>
        <w:rPr>
          <w:rFonts w:ascii="华文楷体" w:eastAsia="华文楷体" w:hAnsi="华文楷体" w:cs="华文楷体" w:hint="eastAsia"/>
        </w:rPr>
        <w:t>赵</w:t>
      </w:r>
      <w:r>
        <w:rPr>
          <w:rFonts w:ascii="华文楷体" w:eastAsia="华文楷体" w:hAnsi="华文楷体" w:cs="华文楷体" w:hint="eastAsia"/>
        </w:rPr>
        <w:t xml:space="preserve">    </w:t>
      </w:r>
      <w:r>
        <w:rPr>
          <w:rFonts w:ascii="华文楷体" w:eastAsia="华文楷体" w:hAnsi="华文楷体" w:cs="华文楷体" w:hint="eastAsia"/>
        </w:rPr>
        <w:t>军</w:t>
      </w:r>
      <w:r>
        <w:rPr>
          <w:rFonts w:ascii="华文楷体" w:eastAsia="华文楷体" w:hAnsi="华文楷体" w:cs="华文楷体" w:hint="eastAsia"/>
        </w:rPr>
        <w:t xml:space="preserve"> </w:t>
      </w:r>
      <w:r>
        <w:rPr>
          <w:rFonts w:ascii="华文楷体" w:eastAsia="华文楷体" w:hAnsi="华文楷体" w:cs="华文楷体" w:hint="eastAsia"/>
        </w:rPr>
        <w:t>淡水泉（北京）投资管理有限公司董事长</w:t>
      </w:r>
    </w:p>
    <w:p w14:paraId="04B36104" w14:textId="77777777" w:rsidR="00ED5EBF" w:rsidRDefault="002034C8">
      <w:pPr>
        <w:rPr>
          <w:rFonts w:ascii="华文楷体" w:eastAsia="华文楷体" w:hAnsi="华文楷体" w:cs="华文楷体"/>
        </w:rPr>
      </w:pPr>
      <w:r>
        <w:rPr>
          <w:rFonts w:ascii="华文楷体" w:eastAsia="华文楷体" w:hAnsi="华文楷体" w:cs="华文楷体" w:hint="eastAsia"/>
        </w:rPr>
        <w:t>三、委员</w:t>
      </w:r>
    </w:p>
    <w:p w14:paraId="709D8FC5" w14:textId="77777777" w:rsidR="00ED5EBF" w:rsidRDefault="002034C8">
      <w:pPr>
        <w:rPr>
          <w:rFonts w:ascii="华文楷体" w:eastAsia="华文楷体" w:hAnsi="华文楷体" w:cs="华文楷体"/>
        </w:rPr>
      </w:pPr>
      <w:r>
        <w:rPr>
          <w:rFonts w:ascii="华文楷体" w:eastAsia="华文楷体" w:hAnsi="华文楷体" w:cs="华文楷体" w:hint="eastAsia"/>
        </w:rPr>
        <w:t>波</w:t>
      </w:r>
      <w:r>
        <w:rPr>
          <w:rFonts w:ascii="华文楷体" w:eastAsia="华文楷体" w:hAnsi="华文楷体" w:cs="华文楷体" w:hint="eastAsia"/>
        </w:rPr>
        <w:t xml:space="preserve">    </w:t>
      </w:r>
      <w:r>
        <w:rPr>
          <w:rFonts w:ascii="华文楷体" w:eastAsia="华文楷体" w:hAnsi="华文楷体" w:cs="华文楷体" w:hint="eastAsia"/>
        </w:rPr>
        <w:t>涛</w:t>
      </w:r>
      <w:r>
        <w:rPr>
          <w:rFonts w:ascii="华文楷体" w:eastAsia="华文楷体" w:hAnsi="华文楷体" w:cs="华文楷体" w:hint="eastAsia"/>
        </w:rPr>
        <w:t xml:space="preserve"> </w:t>
      </w:r>
      <w:r>
        <w:rPr>
          <w:rFonts w:ascii="华文楷体" w:eastAsia="华文楷体" w:hAnsi="华文楷体" w:cs="华文楷体" w:hint="eastAsia"/>
        </w:rPr>
        <w:t>前深圳证券交易所综合研究所所长</w:t>
      </w:r>
    </w:p>
    <w:p w14:paraId="67A1770B" w14:textId="77777777" w:rsidR="00ED5EBF" w:rsidRDefault="002034C8">
      <w:pPr>
        <w:rPr>
          <w:rFonts w:ascii="华文楷体" w:eastAsia="华文楷体" w:hAnsi="华文楷体" w:cs="华文楷体"/>
        </w:rPr>
      </w:pPr>
      <w:r>
        <w:rPr>
          <w:rFonts w:ascii="华文楷体" w:eastAsia="华文楷体" w:hAnsi="华文楷体" w:cs="华文楷体" w:hint="eastAsia"/>
        </w:rPr>
        <w:t>刘纪鹏</w:t>
      </w:r>
      <w:r>
        <w:rPr>
          <w:rFonts w:ascii="华文楷体" w:eastAsia="华文楷体" w:hAnsi="华文楷体" w:cs="华文楷体" w:hint="eastAsia"/>
        </w:rPr>
        <w:t xml:space="preserve"> </w:t>
      </w:r>
      <w:r>
        <w:rPr>
          <w:rFonts w:ascii="华文楷体" w:eastAsia="华文楷体" w:hAnsi="华文楷体" w:cs="华文楷体" w:hint="eastAsia"/>
        </w:rPr>
        <w:t>中国政法大学商学院院长，资本金融研究院院长</w:t>
      </w:r>
    </w:p>
    <w:p w14:paraId="3860D237" w14:textId="77777777" w:rsidR="00ED5EBF" w:rsidRDefault="002034C8">
      <w:pPr>
        <w:rPr>
          <w:rFonts w:ascii="华文楷体" w:eastAsia="华文楷体" w:hAnsi="华文楷体" w:cs="华文楷体"/>
        </w:rPr>
      </w:pPr>
      <w:r>
        <w:rPr>
          <w:rFonts w:ascii="华文楷体" w:eastAsia="华文楷体" w:hAnsi="华文楷体" w:cs="华文楷体" w:hint="eastAsia"/>
        </w:rPr>
        <w:t>芮跃华</w:t>
      </w:r>
      <w:r>
        <w:rPr>
          <w:rFonts w:ascii="华文楷体" w:eastAsia="华文楷体" w:hAnsi="华文楷体" w:cs="华文楷体" w:hint="eastAsia"/>
        </w:rPr>
        <w:t xml:space="preserve"> </w:t>
      </w:r>
      <w:r>
        <w:rPr>
          <w:rFonts w:ascii="华文楷体" w:eastAsia="华文楷体" w:hAnsi="华文楷体" w:cs="华文楷体" w:hint="eastAsia"/>
        </w:rPr>
        <w:t>原中证中小投资者服务中心有限责任公司董事长</w:t>
      </w:r>
    </w:p>
    <w:p w14:paraId="756D4D10" w14:textId="77777777" w:rsidR="00ED5EBF" w:rsidRDefault="002034C8">
      <w:pPr>
        <w:rPr>
          <w:rFonts w:ascii="华文楷体" w:eastAsia="华文楷体" w:hAnsi="华文楷体" w:cs="华文楷体"/>
        </w:rPr>
      </w:pPr>
      <w:r>
        <w:rPr>
          <w:rFonts w:ascii="华文楷体" w:eastAsia="华文楷体" w:hAnsi="华文楷体" w:cs="华文楷体" w:hint="eastAsia"/>
        </w:rPr>
        <w:t>宋国良</w:t>
      </w:r>
      <w:r>
        <w:rPr>
          <w:rFonts w:ascii="华文楷体" w:eastAsia="华文楷体" w:hAnsi="华文楷体" w:cs="华文楷体" w:hint="eastAsia"/>
        </w:rPr>
        <w:t xml:space="preserve"> </w:t>
      </w:r>
      <w:r>
        <w:rPr>
          <w:rFonts w:ascii="华文楷体" w:eastAsia="华文楷体" w:hAnsi="华文楷体" w:cs="华文楷体" w:hint="eastAsia"/>
        </w:rPr>
        <w:t>对外经济贸易大学教授</w:t>
      </w:r>
    </w:p>
    <w:p w14:paraId="7D324AC8" w14:textId="77777777" w:rsidR="00ED5EBF" w:rsidRDefault="002034C8">
      <w:pPr>
        <w:rPr>
          <w:rFonts w:ascii="华文楷体" w:eastAsia="华文楷体" w:hAnsi="华文楷体" w:cs="华文楷体"/>
        </w:rPr>
      </w:pPr>
      <w:r>
        <w:rPr>
          <w:rFonts w:ascii="华文楷体" w:eastAsia="华文楷体" w:hAnsi="华文楷体" w:cs="华文楷体" w:hint="eastAsia"/>
        </w:rPr>
        <w:t>杨光裕</w:t>
      </w:r>
      <w:r>
        <w:rPr>
          <w:rFonts w:ascii="华文楷体" w:eastAsia="华文楷体" w:hAnsi="华文楷体" w:cs="华文楷体" w:hint="eastAsia"/>
        </w:rPr>
        <w:t xml:space="preserve"> </w:t>
      </w:r>
      <w:r>
        <w:rPr>
          <w:rFonts w:ascii="华文楷体" w:eastAsia="华文楷体" w:hAnsi="华文楷体" w:cs="华文楷体" w:hint="eastAsia"/>
        </w:rPr>
        <w:t>长城基金管理有限公司董事长</w:t>
      </w:r>
    </w:p>
    <w:p w14:paraId="0D6BD11F" w14:textId="77777777" w:rsidR="00ED5EBF" w:rsidRDefault="002034C8">
      <w:pPr>
        <w:rPr>
          <w:rFonts w:ascii="华文楷体" w:eastAsia="华文楷体" w:hAnsi="华文楷体" w:cs="华文楷体"/>
        </w:rPr>
      </w:pPr>
      <w:r>
        <w:rPr>
          <w:rFonts w:ascii="华文楷体" w:eastAsia="华文楷体" w:hAnsi="华文楷体" w:cs="华文楷体" w:hint="eastAsia"/>
        </w:rPr>
        <w:t>姚俊逸</w:t>
      </w:r>
      <w:r>
        <w:rPr>
          <w:rFonts w:ascii="华文楷体" w:eastAsia="华文楷体" w:hAnsi="华文楷体" w:cs="华文楷体" w:hint="eastAsia"/>
        </w:rPr>
        <w:t xml:space="preserve"> </w:t>
      </w:r>
      <w:r>
        <w:rPr>
          <w:rFonts w:ascii="华文楷体" w:eastAsia="华文楷体" w:hAnsi="华文楷体" w:cs="华文楷体" w:hint="eastAsia"/>
        </w:rPr>
        <w:t>中国国际贸易仲裁委员会监督处处长</w:t>
      </w:r>
    </w:p>
    <w:p w14:paraId="7C424C7A" w14:textId="77777777" w:rsidR="00ED5EBF" w:rsidRDefault="002034C8">
      <w:pPr>
        <w:rPr>
          <w:rFonts w:ascii="华文楷体" w:eastAsia="华文楷体" w:hAnsi="华文楷体" w:cs="华文楷体"/>
        </w:rPr>
      </w:pPr>
      <w:r>
        <w:rPr>
          <w:rFonts w:ascii="华文楷体" w:eastAsia="华文楷体" w:hAnsi="华文楷体" w:cs="华文楷体" w:hint="eastAsia"/>
        </w:rPr>
        <w:t>张子学</w:t>
      </w:r>
      <w:r>
        <w:rPr>
          <w:rFonts w:ascii="华文楷体" w:eastAsia="华文楷体" w:hAnsi="华文楷体" w:cs="华文楷体" w:hint="eastAsia"/>
        </w:rPr>
        <w:t xml:space="preserve"> </w:t>
      </w:r>
      <w:r>
        <w:rPr>
          <w:rFonts w:ascii="华文楷体" w:eastAsia="华文楷体" w:hAnsi="华文楷体" w:cs="华文楷体" w:hint="eastAsia"/>
        </w:rPr>
        <w:t>中国政法大学民商经济法学院教授，原证监会行政处罚委员会委员</w:t>
      </w:r>
    </w:p>
    <w:p w14:paraId="167CE9B2" w14:textId="77777777" w:rsidR="00ED5EBF" w:rsidRDefault="002034C8">
      <w:pPr>
        <w:rPr>
          <w:rFonts w:ascii="华文楷体" w:eastAsia="华文楷体" w:hAnsi="华文楷体" w:cs="华文楷体"/>
        </w:rPr>
      </w:pPr>
      <w:r>
        <w:rPr>
          <w:rFonts w:ascii="华文楷体" w:eastAsia="华文楷体" w:hAnsi="华文楷体" w:cs="华文楷体" w:hint="eastAsia"/>
        </w:rPr>
        <w:t>列席专家</w:t>
      </w:r>
    </w:p>
    <w:p w14:paraId="511E116D" w14:textId="77777777" w:rsidR="00ED5EBF" w:rsidRDefault="002034C8">
      <w:pPr>
        <w:rPr>
          <w:rFonts w:ascii="华文楷体" w:eastAsia="华文楷体" w:hAnsi="华文楷体" w:cs="华文楷体"/>
        </w:rPr>
      </w:pPr>
      <w:r>
        <w:rPr>
          <w:rFonts w:ascii="华文楷体" w:eastAsia="华文楷体" w:hAnsi="华文楷体" w:cs="华文楷体" w:hint="eastAsia"/>
        </w:rPr>
        <w:t>熊</w:t>
      </w:r>
      <w:r>
        <w:rPr>
          <w:rFonts w:ascii="华文楷体" w:eastAsia="华文楷体" w:hAnsi="华文楷体" w:cs="华文楷体" w:hint="eastAsia"/>
        </w:rPr>
        <w:t xml:space="preserve">    </w:t>
      </w:r>
      <w:r>
        <w:rPr>
          <w:rFonts w:ascii="华文楷体" w:eastAsia="华文楷体" w:hAnsi="华文楷体" w:cs="华文楷体" w:hint="eastAsia"/>
        </w:rPr>
        <w:t>伟</w:t>
      </w:r>
      <w:r>
        <w:rPr>
          <w:rFonts w:ascii="华文楷体" w:eastAsia="华文楷体" w:hAnsi="华文楷体" w:cs="华文楷体" w:hint="eastAsia"/>
        </w:rPr>
        <w:t xml:space="preserve"> </w:t>
      </w:r>
      <w:r>
        <w:rPr>
          <w:rFonts w:ascii="华文楷体" w:eastAsia="华文楷体" w:hAnsi="华文楷体" w:cs="华文楷体" w:hint="eastAsia"/>
        </w:rPr>
        <w:t>武汉大学法学院教授、税法研究中心主任</w:t>
      </w:r>
    </w:p>
    <w:p w14:paraId="098F728B" w14:textId="77777777" w:rsidR="00ED5EBF" w:rsidRDefault="00ED5EBF">
      <w:pPr>
        <w:rPr>
          <w:rFonts w:ascii="华文楷体" w:eastAsia="华文楷体" w:hAnsi="华文楷体" w:cs="华文楷体"/>
        </w:rPr>
      </w:pPr>
    </w:p>
    <w:p w14:paraId="5F2A0035" w14:textId="77777777" w:rsidR="00ED5EBF" w:rsidRDefault="00ED5EBF">
      <w:pPr>
        <w:rPr>
          <w:rFonts w:ascii="华文楷体" w:eastAsia="华文楷体" w:hAnsi="华文楷体" w:cs="华文楷体"/>
        </w:rPr>
      </w:pPr>
    </w:p>
    <w:p w14:paraId="6956D68E" w14:textId="77777777" w:rsidR="00ED5EBF" w:rsidRDefault="00ED5EBF">
      <w:pPr>
        <w:rPr>
          <w:rFonts w:ascii="华文楷体" w:eastAsia="华文楷体" w:hAnsi="华文楷体" w:cs="华文楷体"/>
        </w:rPr>
      </w:pPr>
    </w:p>
    <w:p w14:paraId="4371F59B" w14:textId="77777777" w:rsidR="00ED5EBF" w:rsidRDefault="00ED5EBF">
      <w:pPr>
        <w:rPr>
          <w:rFonts w:ascii="华文楷体" w:eastAsia="华文楷体" w:hAnsi="华文楷体" w:cs="华文楷体"/>
        </w:rPr>
      </w:pPr>
    </w:p>
    <w:p w14:paraId="05E803FE" w14:textId="77777777" w:rsidR="00ED5EBF" w:rsidRDefault="00ED5EBF">
      <w:pPr>
        <w:rPr>
          <w:rFonts w:ascii="华文楷体" w:eastAsia="华文楷体" w:hAnsi="华文楷体" w:cs="华文楷体"/>
        </w:rPr>
      </w:pPr>
    </w:p>
    <w:p w14:paraId="30EDE218" w14:textId="77777777" w:rsidR="00ED5EBF" w:rsidRDefault="002034C8">
      <w:pPr>
        <w:jc w:val="center"/>
        <w:rPr>
          <w:rFonts w:ascii="华文中宋" w:eastAsia="华文中宋" w:hAnsi="华文中宋" w:cs="华文中宋"/>
          <w:b/>
          <w:bCs/>
        </w:rPr>
      </w:pPr>
      <w:bookmarkStart w:id="47" w:name="中国证券投资基金业协会投教专题片全网上线真实案例提示投资风险"/>
      <w:r>
        <w:rPr>
          <w:rFonts w:ascii="华文中宋" w:eastAsia="华文中宋" w:hAnsi="华文中宋" w:cs="华文中宋" w:hint="eastAsia"/>
          <w:b/>
          <w:bCs/>
        </w:rPr>
        <w:t>3</w:t>
      </w:r>
      <w:r>
        <w:rPr>
          <w:rFonts w:ascii="华文中宋" w:eastAsia="华文中宋" w:hAnsi="华文中宋" w:cs="华文中宋" w:hint="eastAsia"/>
          <w:b/>
          <w:bCs/>
        </w:rPr>
        <w:t>·</w:t>
      </w:r>
      <w:r>
        <w:rPr>
          <w:rFonts w:ascii="华文中宋" w:eastAsia="华文中宋" w:hAnsi="华文中宋" w:cs="华文中宋" w:hint="eastAsia"/>
          <w:b/>
          <w:bCs/>
        </w:rPr>
        <w:t>15</w:t>
      </w:r>
      <w:r>
        <w:rPr>
          <w:rFonts w:ascii="华文中宋" w:eastAsia="华文中宋" w:hAnsi="华文中宋" w:cs="华文中宋" w:hint="eastAsia"/>
          <w:b/>
          <w:bCs/>
        </w:rPr>
        <w:t>特别策划︱中国证券投资基金业协会投教专题片全网上线</w:t>
      </w:r>
      <w:r>
        <w:rPr>
          <w:rFonts w:ascii="华文中宋" w:eastAsia="华文中宋" w:hAnsi="华文中宋" w:cs="华文中宋" w:hint="eastAsia"/>
          <w:b/>
          <w:bCs/>
        </w:rPr>
        <w:t xml:space="preserve"> </w:t>
      </w:r>
      <w:r>
        <w:rPr>
          <w:rFonts w:ascii="华文中宋" w:eastAsia="华文中宋" w:hAnsi="华文中宋" w:cs="华文中宋" w:hint="eastAsia"/>
          <w:b/>
          <w:bCs/>
        </w:rPr>
        <w:t>真实案例提示投资风险——守护财富行动</w:t>
      </w:r>
      <w:r>
        <w:rPr>
          <w:rFonts w:ascii="华文中宋" w:eastAsia="华文中宋" w:hAnsi="华文中宋" w:cs="华文中宋" w:hint="eastAsia"/>
          <w:b/>
          <w:bCs/>
        </w:rPr>
        <w:t xml:space="preserve"> </w:t>
      </w:r>
      <w:r>
        <w:rPr>
          <w:rFonts w:ascii="华文中宋" w:eastAsia="华文中宋" w:hAnsi="华文中宋" w:cs="华文中宋" w:hint="eastAsia"/>
          <w:b/>
          <w:bCs/>
        </w:rPr>
        <w:t>远离投资陷阱</w:t>
      </w:r>
    </w:p>
    <w:bookmarkEnd w:id="47"/>
    <w:p w14:paraId="31077CC0" w14:textId="77777777" w:rsidR="00ED5EBF" w:rsidRDefault="002034C8">
      <w:pPr>
        <w:spacing w:line="360" w:lineRule="auto"/>
        <w:ind w:firstLineChars="200" w:firstLine="420"/>
        <w:jc w:val="center"/>
        <w:rPr>
          <w:rFonts w:ascii="华文楷体" w:eastAsia="华文楷体" w:hAnsi="华文楷体" w:cs="华文楷体"/>
          <w:sz w:val="21"/>
          <w:szCs w:val="21"/>
        </w:rPr>
      </w:pPr>
      <w:r>
        <w:rPr>
          <w:rFonts w:ascii="华文楷体" w:eastAsia="华文楷体" w:hAnsi="华文楷体" w:cs="华文楷体" w:hint="eastAsia"/>
          <w:sz w:val="21"/>
          <w:szCs w:val="21"/>
        </w:rPr>
        <w:t>日期：</w:t>
      </w:r>
      <w:r>
        <w:rPr>
          <w:rFonts w:ascii="华文楷体" w:eastAsia="华文楷体" w:hAnsi="华文楷体" w:cs="华文楷体" w:hint="eastAsia"/>
          <w:sz w:val="21"/>
          <w:szCs w:val="21"/>
        </w:rPr>
        <w:t>2018</w:t>
      </w:r>
      <w:r>
        <w:rPr>
          <w:rFonts w:ascii="华文楷体" w:eastAsia="华文楷体" w:hAnsi="华文楷体" w:cs="华文楷体" w:hint="eastAsia"/>
          <w:sz w:val="21"/>
          <w:szCs w:val="21"/>
        </w:rPr>
        <w:t>年</w:t>
      </w:r>
      <w:r>
        <w:rPr>
          <w:rFonts w:ascii="华文楷体" w:eastAsia="华文楷体" w:hAnsi="华文楷体" w:cs="华文楷体" w:hint="eastAsia"/>
          <w:sz w:val="21"/>
          <w:szCs w:val="21"/>
        </w:rPr>
        <w:t>3</w:t>
      </w:r>
      <w:r>
        <w:rPr>
          <w:rFonts w:ascii="华文楷体" w:eastAsia="华文楷体" w:hAnsi="华文楷体" w:cs="华文楷体" w:hint="eastAsia"/>
          <w:sz w:val="21"/>
          <w:szCs w:val="21"/>
        </w:rPr>
        <w:t>月</w:t>
      </w:r>
      <w:r>
        <w:rPr>
          <w:rFonts w:ascii="华文楷体" w:eastAsia="华文楷体" w:hAnsi="华文楷体" w:cs="华文楷体" w:hint="eastAsia"/>
          <w:sz w:val="21"/>
          <w:szCs w:val="21"/>
        </w:rPr>
        <w:t>15</w:t>
      </w:r>
      <w:r>
        <w:rPr>
          <w:rFonts w:ascii="华文楷体" w:eastAsia="华文楷体" w:hAnsi="华文楷体" w:cs="华文楷体" w:hint="eastAsia"/>
          <w:sz w:val="21"/>
          <w:szCs w:val="21"/>
        </w:rPr>
        <w:t>日</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来源：中国证券投资基金业协会</w:t>
      </w:r>
    </w:p>
    <w:p w14:paraId="074996EA" w14:textId="77777777" w:rsidR="00ED5EBF" w:rsidRDefault="00ED5EBF">
      <w:pPr>
        <w:ind w:firstLineChars="200" w:firstLine="480"/>
        <w:rPr>
          <w:rFonts w:ascii="华文楷体" w:eastAsia="华文楷体" w:hAnsi="华文楷体" w:cs="华文楷体"/>
        </w:rPr>
      </w:pPr>
    </w:p>
    <w:p w14:paraId="2D2F3539" w14:textId="77777777" w:rsidR="00ED5EBF" w:rsidRDefault="002034C8">
      <w:pPr>
        <w:ind w:firstLineChars="200" w:firstLine="480"/>
        <w:rPr>
          <w:rFonts w:ascii="华文楷体" w:eastAsia="华文楷体" w:hAnsi="华文楷体" w:cs="华文楷体"/>
        </w:rPr>
      </w:pP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15</w:t>
      </w:r>
      <w:r>
        <w:rPr>
          <w:rFonts w:ascii="华文楷体" w:eastAsia="华文楷体" w:hAnsi="华文楷体" w:cs="华文楷体" w:hint="eastAsia"/>
        </w:rPr>
        <w:t>日，中国证券投资基金业协会（以下简称“协会”）联合国内财经第一社群德林社出品的投教专题片《守护财富行动远离投资陷阱——京城的卖房款和偿命钱怎么突然就没了？》于全网上线播出。这是自去年</w:t>
      </w:r>
      <w:r>
        <w:rPr>
          <w:rFonts w:ascii="华文楷体" w:eastAsia="华文楷体" w:hAnsi="华文楷体" w:cs="华文楷体" w:hint="eastAsia"/>
        </w:rPr>
        <w:t>3</w:t>
      </w:r>
      <w:r>
        <w:rPr>
          <w:rFonts w:ascii="华文楷体" w:eastAsia="华文楷体" w:hAnsi="华文楷体" w:cs="华文楷体" w:hint="eastAsia"/>
        </w:rPr>
        <w:t>·</w:t>
      </w:r>
      <w:r>
        <w:rPr>
          <w:rFonts w:ascii="华文楷体" w:eastAsia="华文楷体" w:hAnsi="华文楷体" w:cs="华文楷体" w:hint="eastAsia"/>
        </w:rPr>
        <w:t>15</w:t>
      </w:r>
      <w:r>
        <w:rPr>
          <w:rFonts w:ascii="华文楷体" w:eastAsia="华文楷体" w:hAnsi="华文楷体" w:cs="华文楷体" w:hint="eastAsia"/>
        </w:rPr>
        <w:t>协会推出国内首个投资者教育</w:t>
      </w:r>
      <w:r>
        <w:rPr>
          <w:rFonts w:ascii="华文楷体" w:eastAsia="华文楷体" w:hAnsi="华文楷体" w:cs="华文楷体" w:hint="eastAsia"/>
        </w:rPr>
        <w:t>MG</w:t>
      </w:r>
      <w:r>
        <w:rPr>
          <w:rFonts w:ascii="华文楷体" w:eastAsia="华文楷体" w:hAnsi="华文楷体" w:cs="华文楷体" w:hint="eastAsia"/>
        </w:rPr>
        <w:t>动漫季播剧《你财知道？》后的又一力作，旨在增强投资者风险防范意识，加大投资者权益保护力度。</w:t>
      </w:r>
    </w:p>
    <w:p w14:paraId="0719979D" w14:textId="77777777" w:rsidR="00ED5EBF" w:rsidRDefault="00ED5EBF">
      <w:pPr>
        <w:rPr>
          <w:rFonts w:ascii="华文楷体" w:eastAsia="华文楷体" w:hAnsi="华文楷体" w:cs="华文楷体"/>
        </w:rPr>
      </w:pPr>
    </w:p>
    <w:p w14:paraId="7BDA1595" w14:textId="77777777" w:rsidR="00ED5EBF" w:rsidRDefault="002034C8">
      <w:pPr>
        <w:ind w:firstLineChars="200" w:firstLine="480"/>
        <w:rPr>
          <w:rFonts w:ascii="华文楷体" w:eastAsia="华文楷体" w:hAnsi="华文楷体" w:cs="华文楷体"/>
        </w:rPr>
      </w:pPr>
      <w:r>
        <w:rPr>
          <w:rFonts w:ascii="华文楷体" w:eastAsia="华文楷体" w:hAnsi="华文楷体" w:cs="华文楷体" w:hint="eastAsia"/>
        </w:rPr>
        <w:t>本次</w:t>
      </w:r>
      <w:r>
        <w:rPr>
          <w:rFonts w:ascii="华文楷体" w:eastAsia="华文楷体" w:hAnsi="华文楷体" w:cs="华文楷体" w:hint="eastAsia"/>
        </w:rPr>
        <w:t>3</w:t>
      </w:r>
      <w:r>
        <w:rPr>
          <w:rFonts w:ascii="华文楷体" w:eastAsia="华文楷体" w:hAnsi="华文楷体" w:cs="华文楷体" w:hint="eastAsia"/>
        </w:rPr>
        <w:t>·</w:t>
      </w:r>
      <w:r>
        <w:rPr>
          <w:rFonts w:ascii="华文楷体" w:eastAsia="华文楷体" w:hAnsi="华文楷体" w:cs="华文楷体" w:hint="eastAsia"/>
        </w:rPr>
        <w:t>15</w:t>
      </w:r>
      <w:r>
        <w:rPr>
          <w:rFonts w:ascii="华文楷体" w:eastAsia="华文楷体" w:hAnsi="华文楷体" w:cs="华文楷体" w:hint="eastAsia"/>
        </w:rPr>
        <w:t>上线的投教专题片根据真实案例改编，案件的受害者都是缺乏投资知识和风险防范意识的中老年投资者，被宣传高收益低风险产品的不法分子诈骗，导致投资款血本无归。历时数月的制作，该专题片通过</w:t>
      </w:r>
      <w:r>
        <w:rPr>
          <w:rFonts w:ascii="华文楷体" w:eastAsia="华文楷体" w:hAnsi="华文楷体" w:cs="华文楷体" w:hint="eastAsia"/>
        </w:rPr>
        <w:t>对案例的深入分析和对受害投资者的多次走访，真实还原了这起私募基金非法集资案件，并通过外部专家和协会相关负责人的解读，让投资者清晰直观地了解和掌握辨别防范私募基金投资陷阱的要点。</w:t>
      </w:r>
    </w:p>
    <w:p w14:paraId="787AF421" w14:textId="77777777" w:rsidR="00ED5EBF" w:rsidRDefault="00ED5EBF">
      <w:pPr>
        <w:rPr>
          <w:rFonts w:ascii="华文楷体" w:eastAsia="华文楷体" w:hAnsi="华文楷体" w:cs="华文楷体"/>
        </w:rPr>
      </w:pPr>
    </w:p>
    <w:p w14:paraId="1FF491B2" w14:textId="77777777" w:rsidR="00ED5EBF" w:rsidRDefault="002034C8">
      <w:pPr>
        <w:ind w:firstLineChars="200" w:firstLine="480"/>
        <w:rPr>
          <w:rFonts w:ascii="华文楷体" w:eastAsia="华文楷体" w:hAnsi="华文楷体" w:cs="华文楷体"/>
        </w:rPr>
      </w:pPr>
      <w:r>
        <w:rPr>
          <w:rFonts w:ascii="华文楷体" w:eastAsia="华文楷体" w:hAnsi="华文楷体" w:cs="华文楷体" w:hint="eastAsia"/>
        </w:rPr>
        <w:t>身处全媒体、自媒体时代，社会思想的多元多变对投资者教育工作的革新提出了迫切要求。</w:t>
      </w:r>
      <w:r>
        <w:rPr>
          <w:rFonts w:ascii="华文楷体" w:eastAsia="华文楷体" w:hAnsi="华文楷体" w:cs="华文楷体" w:hint="eastAsia"/>
        </w:rPr>
        <w:t>2018</w:t>
      </w:r>
      <w:r>
        <w:rPr>
          <w:rFonts w:ascii="华文楷体" w:eastAsia="华文楷体" w:hAnsi="华文楷体" w:cs="华文楷体" w:hint="eastAsia"/>
        </w:rPr>
        <w:t>年，协会将继续重视投资者教育保护工作与新媒体平台的融合，推出更加丰富的投资者教育产品，组织多样化的投资者教育活动，为社会提供全方位、多层次的投资者教育服务。</w:t>
      </w:r>
    </w:p>
    <w:p w14:paraId="04862F50" w14:textId="77777777" w:rsidR="00ED5EBF" w:rsidRDefault="00ED5EBF">
      <w:pPr>
        <w:ind w:firstLineChars="200" w:firstLine="480"/>
        <w:rPr>
          <w:rFonts w:ascii="华文楷体" w:eastAsia="华文楷体" w:hAnsi="华文楷体" w:cs="华文楷体"/>
        </w:rPr>
      </w:pPr>
    </w:p>
    <w:p w14:paraId="2AD1B4C7" w14:textId="77777777" w:rsidR="00ED5EBF" w:rsidRDefault="00ED5EBF">
      <w:pPr>
        <w:spacing w:line="360" w:lineRule="auto"/>
        <w:ind w:firstLineChars="200" w:firstLine="420"/>
        <w:jc w:val="center"/>
        <w:rPr>
          <w:rFonts w:ascii="华文楷体" w:eastAsia="华文楷体" w:hAnsi="华文楷体" w:cs="华文楷体"/>
          <w:sz w:val="21"/>
          <w:szCs w:val="21"/>
        </w:rPr>
      </w:pPr>
    </w:p>
    <w:p w14:paraId="4A111048" w14:textId="77777777" w:rsidR="00ED5EBF" w:rsidRDefault="002034C8">
      <w:pPr>
        <w:spacing w:line="360" w:lineRule="auto"/>
        <w:ind w:firstLineChars="200" w:firstLine="480"/>
        <w:jc w:val="center"/>
        <w:rPr>
          <w:rFonts w:ascii="华文中宋" w:eastAsia="华文中宋" w:hAnsi="华文中宋" w:cs="华文中宋"/>
          <w:b/>
          <w:bCs/>
        </w:rPr>
      </w:pPr>
      <w:bookmarkStart w:id="48" w:name="中国证券投资基金业协会早期投资行业培训班（第一期）在上海成功举办"/>
      <w:r>
        <w:rPr>
          <w:rFonts w:ascii="华文中宋" w:eastAsia="华文中宋" w:hAnsi="华文中宋" w:cs="华文中宋" w:hint="eastAsia"/>
          <w:b/>
          <w:bCs/>
        </w:rPr>
        <w:t>中国证券投资基金业协会早期投资行业培训班（第一期）在上海成功举办</w:t>
      </w:r>
    </w:p>
    <w:bookmarkEnd w:id="48"/>
    <w:p w14:paraId="0BAA79C5" w14:textId="77777777" w:rsidR="00ED5EBF" w:rsidRDefault="002034C8">
      <w:pPr>
        <w:spacing w:line="360" w:lineRule="auto"/>
        <w:ind w:firstLineChars="200" w:firstLine="420"/>
        <w:jc w:val="center"/>
        <w:rPr>
          <w:rFonts w:ascii="华文楷体" w:eastAsia="华文楷体" w:hAnsi="华文楷体" w:cs="华文楷体"/>
          <w:sz w:val="21"/>
          <w:szCs w:val="21"/>
        </w:rPr>
      </w:pPr>
      <w:r>
        <w:rPr>
          <w:rFonts w:ascii="华文楷体" w:eastAsia="华文楷体" w:hAnsi="华文楷体" w:cs="华文楷体" w:hint="eastAsia"/>
          <w:sz w:val="21"/>
          <w:szCs w:val="21"/>
        </w:rPr>
        <w:t>日期：</w:t>
      </w:r>
      <w:r>
        <w:rPr>
          <w:rFonts w:ascii="华文楷体" w:eastAsia="华文楷体" w:hAnsi="华文楷体" w:cs="华文楷体" w:hint="eastAsia"/>
          <w:sz w:val="21"/>
          <w:szCs w:val="21"/>
        </w:rPr>
        <w:t>2018</w:t>
      </w:r>
      <w:r>
        <w:rPr>
          <w:rFonts w:ascii="华文楷体" w:eastAsia="华文楷体" w:hAnsi="华文楷体" w:cs="华文楷体" w:hint="eastAsia"/>
          <w:sz w:val="21"/>
          <w:szCs w:val="21"/>
        </w:rPr>
        <w:t>年</w:t>
      </w:r>
      <w:r>
        <w:rPr>
          <w:rFonts w:ascii="华文楷体" w:eastAsia="华文楷体" w:hAnsi="华文楷体" w:cs="华文楷体" w:hint="eastAsia"/>
          <w:sz w:val="21"/>
          <w:szCs w:val="21"/>
        </w:rPr>
        <w:t>3</w:t>
      </w:r>
      <w:r>
        <w:rPr>
          <w:rFonts w:ascii="华文楷体" w:eastAsia="华文楷体" w:hAnsi="华文楷体" w:cs="华文楷体" w:hint="eastAsia"/>
          <w:sz w:val="21"/>
          <w:szCs w:val="21"/>
        </w:rPr>
        <w:t>月</w:t>
      </w:r>
      <w:r>
        <w:rPr>
          <w:rFonts w:ascii="华文楷体" w:eastAsia="华文楷体" w:hAnsi="华文楷体" w:cs="华文楷体" w:hint="eastAsia"/>
          <w:sz w:val="21"/>
          <w:szCs w:val="21"/>
        </w:rPr>
        <w:t>16</w:t>
      </w:r>
      <w:r>
        <w:rPr>
          <w:rFonts w:ascii="华文楷体" w:eastAsia="华文楷体" w:hAnsi="华文楷体" w:cs="华文楷体" w:hint="eastAsia"/>
          <w:sz w:val="21"/>
          <w:szCs w:val="21"/>
        </w:rPr>
        <w:t>日</w:t>
      </w:r>
      <w:r>
        <w:rPr>
          <w:rFonts w:ascii="华文楷体" w:eastAsia="华文楷体" w:hAnsi="华文楷体" w:cs="华文楷体" w:hint="eastAsia"/>
          <w:sz w:val="21"/>
          <w:szCs w:val="21"/>
        </w:rPr>
        <w:t xml:space="preserve"> </w:t>
      </w:r>
      <w:r>
        <w:rPr>
          <w:rFonts w:ascii="华文楷体" w:eastAsia="华文楷体" w:hAnsi="华文楷体" w:cs="华文楷体" w:hint="eastAsia"/>
          <w:sz w:val="21"/>
          <w:szCs w:val="21"/>
        </w:rPr>
        <w:t>来源：中国证券投资基金业协会</w:t>
      </w:r>
    </w:p>
    <w:p w14:paraId="260E255A" w14:textId="77777777" w:rsidR="00ED5EBF" w:rsidRDefault="00ED5EBF">
      <w:pPr>
        <w:ind w:firstLineChars="200" w:firstLine="480"/>
        <w:rPr>
          <w:rFonts w:ascii="华文楷体" w:eastAsia="华文楷体" w:hAnsi="华文楷体" w:cs="华文楷体"/>
        </w:rPr>
      </w:pPr>
    </w:p>
    <w:p w14:paraId="07BBBCAC" w14:textId="77777777" w:rsidR="00ED5EBF" w:rsidRDefault="002034C8">
      <w:pPr>
        <w:ind w:firstLineChars="200" w:firstLine="480"/>
        <w:rPr>
          <w:rFonts w:ascii="华文楷体" w:eastAsia="华文楷体" w:hAnsi="华文楷体" w:cs="华文楷体"/>
        </w:rPr>
      </w:pPr>
      <w:r>
        <w:rPr>
          <w:rFonts w:ascii="华文楷体" w:eastAsia="华文楷体" w:hAnsi="华文楷体" w:cs="华文楷体" w:hint="eastAsia"/>
        </w:rPr>
        <w:t>为指导私募基金提高早期及创业投资能力，引导私募基金投早投小、投新投长，更好地服务实体经济转型升级，中国证券投资基金业协会（简称协会）于</w:t>
      </w:r>
      <w:r>
        <w:rPr>
          <w:rFonts w:ascii="华文楷体" w:eastAsia="华文楷体" w:hAnsi="华文楷体" w:cs="华文楷体" w:hint="eastAsia"/>
        </w:rPr>
        <w:t>2018</w:t>
      </w:r>
      <w:r>
        <w:rPr>
          <w:rFonts w:ascii="华文楷体" w:eastAsia="华文楷体" w:hAnsi="华文楷体" w:cs="华文楷体" w:hint="eastAsia"/>
        </w:rPr>
        <w:t>年</w:t>
      </w:r>
      <w:r>
        <w:rPr>
          <w:rFonts w:ascii="华文楷体" w:eastAsia="华文楷体" w:hAnsi="华文楷体" w:cs="华文楷体" w:hint="eastAsia"/>
        </w:rPr>
        <w:t>3</w:t>
      </w:r>
      <w:r>
        <w:rPr>
          <w:rFonts w:ascii="华文楷体" w:eastAsia="华文楷体" w:hAnsi="华文楷体" w:cs="华文楷体" w:hint="eastAsia"/>
        </w:rPr>
        <w:t>月</w:t>
      </w:r>
      <w:r>
        <w:rPr>
          <w:rFonts w:ascii="华文楷体" w:eastAsia="华文楷体" w:hAnsi="华文楷体" w:cs="华文楷体" w:hint="eastAsia"/>
        </w:rPr>
        <w:t>15</w:t>
      </w:r>
      <w:r>
        <w:rPr>
          <w:rFonts w:ascii="华文楷体" w:eastAsia="华文楷体" w:hAnsi="华文楷体" w:cs="华文楷体" w:hint="eastAsia"/>
        </w:rPr>
        <w:t>日，在上海成功举办早期投资行业培训班（第一期），协会副秘书长陈春艳出席培训并作开班致辞。来自私募股权（创业）投资基金、政府引导基金与私募股权（创业）投资母基金等机构</w:t>
      </w:r>
      <w:r>
        <w:rPr>
          <w:rFonts w:ascii="华文楷体" w:eastAsia="华文楷体" w:hAnsi="华文楷体" w:cs="华文楷体" w:hint="eastAsia"/>
        </w:rPr>
        <w:t>210</w:t>
      </w:r>
      <w:r>
        <w:rPr>
          <w:rFonts w:ascii="华文楷体" w:eastAsia="华文楷体" w:hAnsi="华文楷体" w:cs="华文楷体" w:hint="eastAsia"/>
        </w:rPr>
        <w:t>余名学员参加了本次培训。</w:t>
      </w:r>
    </w:p>
    <w:p w14:paraId="4841D732" w14:textId="77777777" w:rsidR="00ED5EBF" w:rsidRDefault="00ED5EBF">
      <w:pPr>
        <w:rPr>
          <w:rFonts w:ascii="华文楷体" w:eastAsia="华文楷体" w:hAnsi="华文楷体" w:cs="华文楷体"/>
        </w:rPr>
      </w:pPr>
    </w:p>
    <w:p w14:paraId="20E9624C" w14:textId="77777777" w:rsidR="00ED5EBF" w:rsidRDefault="002034C8">
      <w:pPr>
        <w:ind w:firstLineChars="200" w:firstLine="480"/>
        <w:rPr>
          <w:rFonts w:ascii="华文楷体" w:eastAsia="华文楷体" w:hAnsi="华文楷体" w:cs="华文楷体"/>
        </w:rPr>
      </w:pPr>
      <w:r>
        <w:rPr>
          <w:rFonts w:ascii="华文楷体" w:eastAsia="华文楷体" w:hAnsi="华文楷体" w:cs="华文楷体" w:hint="eastAsia"/>
        </w:rPr>
        <w:t>本次培训邀请了五位行业专家授课。早期投资专委会委员、创业黑马董事长牛文文以“</w:t>
      </w:r>
      <w:r>
        <w:rPr>
          <w:rFonts w:ascii="华文楷体" w:eastAsia="华文楷体" w:hAnsi="华文楷体" w:cs="华文楷体" w:hint="eastAsia"/>
        </w:rPr>
        <w:t>2018</w:t>
      </w:r>
      <w:r>
        <w:rPr>
          <w:rFonts w:ascii="华文楷体" w:eastAsia="华文楷体" w:hAnsi="华文楷体" w:cs="华文楷体" w:hint="eastAsia"/>
        </w:rPr>
        <w:t>年国内产业升级趋势</w:t>
      </w:r>
      <w:r>
        <w:rPr>
          <w:rFonts w:ascii="华文楷体" w:eastAsia="华文楷体" w:hAnsi="华文楷体" w:cs="华文楷体" w:hint="eastAsia"/>
        </w:rPr>
        <w:t>展望”为主题，介绍中式“独角兽”的产业、融资特点，深入剖析投资策略、管理模式；汉坤律师事务所上海地区合伙人曹银石，从法律、法规合规性，就创业企业融资架构、流程等问题开展实例讲解；早期投资专委会、天使投资人王刚，以“早期投资最佳实践与案例分享”为题，向学员介绍自己投资方法论及实践经验；创业投资基金专委会委员、源星资本董事长卓福民，对于</w:t>
      </w:r>
      <w:r>
        <w:rPr>
          <w:rFonts w:ascii="华文楷体" w:eastAsia="华文楷体" w:hAnsi="华文楷体" w:cs="华文楷体" w:hint="eastAsia"/>
        </w:rPr>
        <w:t>2018</w:t>
      </w:r>
      <w:r>
        <w:rPr>
          <w:rFonts w:ascii="华文楷体" w:eastAsia="华文楷体" w:hAnsi="华文楷体" w:cs="华文楷体" w:hint="eastAsia"/>
        </w:rPr>
        <w:t>年行业风口及投资热点等问题，阐述行业现象、分享个人观点；协会私募管理部总监董煜韬，以“私募基金行业自律管理”为主题，以私募基金行业监管与自律规范为理论基础，为学员梳理私募</w:t>
      </w:r>
      <w:r>
        <w:rPr>
          <w:rFonts w:ascii="华文楷体" w:eastAsia="华文楷体" w:hAnsi="华文楷体" w:cs="华文楷体" w:hint="eastAsia"/>
        </w:rPr>
        <w:t>基金行业发展、介绍私募证券基金管理人会员综合分类指标体系、讲解信息披露等情况。</w:t>
      </w:r>
    </w:p>
    <w:sectPr w:rsidR="00ED5EBF">
      <w:footerReference w:type="default" r:id="rId37"/>
      <w:pgSz w:w="11900" w:h="16840"/>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056F03" w14:textId="77777777" w:rsidR="002034C8" w:rsidRDefault="002034C8">
      <w:r>
        <w:separator/>
      </w:r>
    </w:p>
  </w:endnote>
  <w:endnote w:type="continuationSeparator" w:id="0">
    <w:p w14:paraId="1050ACF9" w14:textId="77777777" w:rsidR="002034C8" w:rsidRDefault="00203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charset w:val="86"/>
    <w:family w:val="swiss"/>
    <w:pitch w:val="variable"/>
    <w:sig w:usb0="80000287" w:usb1="28C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charset w:val="86"/>
    <w:family w:val="auto"/>
    <w:pitch w:val="fixed"/>
    <w:sig w:usb0="800002BF" w:usb1="38CF7CFA" w:usb2="00000016" w:usb3="00000000" w:csb0="00040001" w:csb1="00000000"/>
  </w:font>
  <w:font w:name="华文中宋">
    <w:charset w:val="86"/>
    <w:family w:val="auto"/>
    <w:pitch w:val="variable"/>
    <w:sig w:usb0="00000287" w:usb1="080F0000" w:usb2="00000010" w:usb3="00000000" w:csb0="0004009F" w:csb1="00000000"/>
  </w:font>
  <w:font w:name="华文楷体">
    <w:charset w:val="86"/>
    <w:family w:val="auto"/>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14BE28" w14:textId="77777777" w:rsidR="00ED5EBF" w:rsidRDefault="00ED5EBF">
    <w:pPr>
      <w:pStyle w:val="a5"/>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1AA7A7" w14:textId="77777777" w:rsidR="00ED5EBF" w:rsidRDefault="00ED5EBF">
    <w:pPr>
      <w:pStyle w:val="a5"/>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F1AC0" w14:textId="77777777" w:rsidR="00ED5EBF" w:rsidRDefault="002034C8">
    <w:pPr>
      <w:pStyle w:val="a5"/>
    </w:pPr>
    <w:r>
      <w:rPr>
        <w:noProof/>
      </w:rPr>
      <mc:AlternateContent>
        <mc:Choice Requires="wps">
          <w:drawing>
            <wp:anchor distT="0" distB="0" distL="114300" distR="114300" simplePos="0" relativeHeight="251659264" behindDoc="0" locked="0" layoutInCell="1" allowOverlap="1" wp14:anchorId="2AE811FF" wp14:editId="24072E91">
              <wp:simplePos x="0" y="0"/>
              <wp:positionH relativeFrom="margin">
                <wp:align>center</wp:align>
              </wp:positionH>
              <wp:positionV relativeFrom="paragraph">
                <wp:posOffset>0</wp:posOffset>
              </wp:positionV>
              <wp:extent cx="133350" cy="140335"/>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3350" cy="1403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923CBA" w14:textId="77777777" w:rsidR="00ED5EBF" w:rsidRDefault="002034C8">
                          <w:pPr>
                            <w:pStyle w:val="a5"/>
                          </w:pPr>
                          <w:r>
                            <w:rPr>
                              <w:rFonts w:hint="eastAsia"/>
                            </w:rPr>
                            <w:fldChar w:fldCharType="begin"/>
                          </w:r>
                          <w:r>
                            <w:rPr>
                              <w:rFonts w:hint="eastAsia"/>
                            </w:rPr>
                            <w:instrText xml:space="preserve"> PAGE  \* MERGEFORMAT </w:instrText>
                          </w:r>
                          <w:r>
                            <w:rPr>
                              <w:rFonts w:hint="eastAsia"/>
                            </w:rPr>
                            <w:fldChar w:fldCharType="separate"/>
                          </w:r>
                          <w:r w:rsidR="00E276A0">
                            <w:rPr>
                              <w:noProof/>
                            </w:rPr>
                            <w:t>43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AE811FF" id="_x0000_t202" coordsize="21600,21600" o:spt="202" path="m0,0l0,21600,21600,21600,21600,0xe">
              <v:stroke joinstyle="miter"/>
              <v:path gradientshapeok="t" o:connecttype="rect"/>
            </v:shapetype>
            <v:shape id="文本框 45" o:spid="_x0000_s1026" type="#_x0000_t202" style="position:absolute;margin-left:0;margin-top:0;width:10.5pt;height:11.0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" filled="f" stroked="f" strokeweight=".5pt">
              <v:textbox style="mso-fit-shape-to-text:t" inset="0,0,0,0">
                <w:txbxContent>
                  <w:p w14:paraId="42923CBA" w14:textId="77777777" w:rsidR="00ED5EBF" w:rsidRDefault="002034C8">
                    <w:pPr>
                      <w:pStyle w:val="a5"/>
                    </w:pPr>
                    <w:r>
                      <w:rPr>
                        <w:rFonts w:hint="eastAsia"/>
                      </w:rPr>
                      <w:fldChar w:fldCharType="begin"/>
                    </w:r>
                    <w:r>
                      <w:rPr>
                        <w:rFonts w:hint="eastAsia"/>
                      </w:rPr>
                      <w:instrText xml:space="preserve"> PAGE  \* MERGEFORMAT </w:instrText>
                    </w:r>
                    <w:r>
                      <w:rPr>
                        <w:rFonts w:hint="eastAsia"/>
                      </w:rPr>
                      <w:fldChar w:fldCharType="separate"/>
                    </w:r>
                    <w:r w:rsidR="00E276A0">
                      <w:rPr>
                        <w:noProof/>
                      </w:rPr>
                      <w:t>43</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3800AF" w14:textId="77777777" w:rsidR="002034C8" w:rsidRDefault="002034C8">
      <w:r>
        <w:separator/>
      </w:r>
    </w:p>
  </w:footnote>
  <w:footnote w:type="continuationSeparator" w:id="0">
    <w:p w14:paraId="41CBACB6" w14:textId="77777777" w:rsidR="002034C8" w:rsidRDefault="002034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defaultTabStop w:val="420"/>
  <w:drawingGridVerticalSpacing w:val="200"/>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72D"/>
    <w:rsid w:val="0002592B"/>
    <w:rsid w:val="00032EED"/>
    <w:rsid w:val="000D669C"/>
    <w:rsid w:val="002034C8"/>
    <w:rsid w:val="002A585F"/>
    <w:rsid w:val="00396FE7"/>
    <w:rsid w:val="003C7D58"/>
    <w:rsid w:val="003F468E"/>
    <w:rsid w:val="004B4FCA"/>
    <w:rsid w:val="0055172D"/>
    <w:rsid w:val="005D2BEF"/>
    <w:rsid w:val="006616D0"/>
    <w:rsid w:val="007D749F"/>
    <w:rsid w:val="008B0DEC"/>
    <w:rsid w:val="00A60284"/>
    <w:rsid w:val="00AC5616"/>
    <w:rsid w:val="00BC1141"/>
    <w:rsid w:val="00E276A0"/>
    <w:rsid w:val="00EC174E"/>
    <w:rsid w:val="00ED5EBF"/>
    <w:rsid w:val="00F45B39"/>
    <w:rsid w:val="00F92A01"/>
    <w:rsid w:val="092237BF"/>
    <w:rsid w:val="09EB4F7F"/>
    <w:rsid w:val="0A4C6B9E"/>
    <w:rsid w:val="0C93719F"/>
    <w:rsid w:val="0E573739"/>
    <w:rsid w:val="0F1F0790"/>
    <w:rsid w:val="0FE34F18"/>
    <w:rsid w:val="16244C1A"/>
    <w:rsid w:val="16D23E59"/>
    <w:rsid w:val="17EF129E"/>
    <w:rsid w:val="182E3200"/>
    <w:rsid w:val="196C2439"/>
    <w:rsid w:val="1B9D1CB0"/>
    <w:rsid w:val="1EE6342A"/>
    <w:rsid w:val="1FE83D05"/>
    <w:rsid w:val="238C7A9C"/>
    <w:rsid w:val="23FD4036"/>
    <w:rsid w:val="24E533A1"/>
    <w:rsid w:val="261A2CD7"/>
    <w:rsid w:val="26FB5B10"/>
    <w:rsid w:val="29935630"/>
    <w:rsid w:val="2A756B1A"/>
    <w:rsid w:val="2BF726D2"/>
    <w:rsid w:val="3200002D"/>
    <w:rsid w:val="32BC44A7"/>
    <w:rsid w:val="36A45AB9"/>
    <w:rsid w:val="39186A3F"/>
    <w:rsid w:val="39F65F59"/>
    <w:rsid w:val="39F84C31"/>
    <w:rsid w:val="3ADA2CCF"/>
    <w:rsid w:val="3D195C30"/>
    <w:rsid w:val="3E5A11E6"/>
    <w:rsid w:val="3F185B66"/>
    <w:rsid w:val="402A3D30"/>
    <w:rsid w:val="414F365F"/>
    <w:rsid w:val="42474B8F"/>
    <w:rsid w:val="44480EAC"/>
    <w:rsid w:val="48D2443A"/>
    <w:rsid w:val="4B150376"/>
    <w:rsid w:val="4CC813A0"/>
    <w:rsid w:val="512B5A66"/>
    <w:rsid w:val="53A469E8"/>
    <w:rsid w:val="563F3422"/>
    <w:rsid w:val="57FA70B3"/>
    <w:rsid w:val="5D7A7359"/>
    <w:rsid w:val="5E614F31"/>
    <w:rsid w:val="5F4056D1"/>
    <w:rsid w:val="65F8138D"/>
    <w:rsid w:val="665E529F"/>
    <w:rsid w:val="669257B5"/>
    <w:rsid w:val="670037C4"/>
    <w:rsid w:val="67023A1F"/>
    <w:rsid w:val="68054589"/>
    <w:rsid w:val="684A67D7"/>
    <w:rsid w:val="692918CB"/>
    <w:rsid w:val="6C307324"/>
    <w:rsid w:val="6C5A2149"/>
    <w:rsid w:val="72B3440F"/>
    <w:rsid w:val="74354883"/>
    <w:rsid w:val="753649E1"/>
    <w:rsid w:val="7C333F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4A6547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4"/>
      <w:szCs w:val="24"/>
    </w:rPr>
  </w:style>
  <w:style w:type="paragraph" w:styleId="1">
    <w:name w:val="heading 1"/>
    <w:basedOn w:val="a"/>
    <w:next w:val="a"/>
    <w:link w:val="10"/>
    <w:uiPriority w:val="9"/>
    <w:qFormat/>
    <w:pPr>
      <w:spacing w:beforeAutospacing="1" w:afterAutospacing="1"/>
      <w:jc w:val="left"/>
      <w:outlineLvl w:val="0"/>
    </w:pPr>
    <w:rPr>
      <w:rFonts w:ascii="宋体" w:eastAsia="宋体" w:hAnsi="宋体" w:cs="Times New Roman" w:hint="eastAsia"/>
      <w:b/>
      <w:kern w:val="44"/>
      <w:sz w:val="48"/>
      <w:szCs w:val="48"/>
    </w:rPr>
  </w:style>
  <w:style w:type="paragraph" w:styleId="2">
    <w:name w:val="heading 2"/>
    <w:basedOn w:val="a"/>
    <w:next w:val="a"/>
    <w:uiPriority w:val="9"/>
    <w:semiHidden/>
    <w:unhideWhenUsed/>
    <w:qFormat/>
    <w:pPr>
      <w:spacing w:beforeAutospacing="1" w:afterAutospacing="1"/>
      <w:jc w:val="left"/>
      <w:outlineLvl w:val="1"/>
    </w:pPr>
    <w:rPr>
      <w:rFonts w:ascii="宋体" w:eastAsia="宋体" w:hAnsi="宋体" w:cs="Times New Roman" w:hint="eastAsia"/>
      <w:b/>
      <w:kern w:val="0"/>
      <w:sz w:val="36"/>
      <w:szCs w:val="36"/>
    </w:rPr>
  </w:style>
  <w:style w:type="paragraph" w:styleId="3">
    <w:name w:val="heading 3"/>
    <w:basedOn w:val="a"/>
    <w:next w:val="a"/>
    <w:uiPriority w:val="9"/>
    <w:semiHidden/>
    <w:unhideWhenUsed/>
    <w:qFormat/>
    <w:pPr>
      <w:spacing w:beforeAutospacing="1" w:afterAutospacing="1"/>
      <w:jc w:val="left"/>
      <w:outlineLvl w:val="2"/>
    </w:pPr>
    <w:rPr>
      <w:rFonts w:ascii="宋体" w:eastAsia="宋体" w:hAnsi="宋体" w:cs="Times New Roman" w:hint="eastAsia"/>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pPr>
      <w:ind w:leftChars="2500" w:left="100"/>
    </w:pPr>
    <w:rPr>
      <w:b/>
      <w:sz w:val="48"/>
      <w:szCs w:val="48"/>
    </w:rPr>
  </w:style>
  <w:style w:type="paragraph" w:styleId="a5">
    <w:name w:val="footer"/>
    <w:basedOn w:val="a"/>
    <w:uiPriority w:val="99"/>
    <w:semiHidden/>
    <w:unhideWhenUsed/>
    <w:pPr>
      <w:tabs>
        <w:tab w:val="center" w:pos="4153"/>
        <w:tab w:val="right" w:pos="8306"/>
      </w:tabs>
      <w:snapToGrid w:val="0"/>
      <w:jc w:val="left"/>
    </w:pPr>
    <w:rPr>
      <w:sz w:val="18"/>
    </w:rPr>
  </w:style>
  <w:style w:type="paragraph" w:styleId="a6">
    <w:name w:val="header"/>
    <w:basedOn w:val="a"/>
    <w:uiPriority w:val="99"/>
    <w:semiHidden/>
    <w:unhideWhenUse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1">
    <w:name w:val="toc 1"/>
    <w:basedOn w:val="a"/>
    <w:next w:val="a"/>
    <w:uiPriority w:val="39"/>
    <w:semiHidden/>
    <w:unhideWhenUsed/>
  </w:style>
  <w:style w:type="paragraph" w:styleId="20">
    <w:name w:val="toc 2"/>
    <w:basedOn w:val="a"/>
    <w:next w:val="a"/>
    <w:uiPriority w:val="39"/>
    <w:semiHidden/>
    <w:unhideWhenUsed/>
    <w:pPr>
      <w:ind w:leftChars="200" w:left="420"/>
    </w:pPr>
  </w:style>
  <w:style w:type="paragraph" w:styleId="a7">
    <w:name w:val="Normal (Web)"/>
    <w:basedOn w:val="a"/>
    <w:uiPriority w:val="99"/>
    <w:semiHidden/>
    <w:unhideWhenUsed/>
    <w:pPr>
      <w:spacing w:beforeAutospacing="1" w:afterAutospacing="1"/>
      <w:jc w:val="left"/>
    </w:pPr>
    <w:rPr>
      <w:rFonts w:cs="Times New Roman"/>
      <w:kern w:val="0"/>
    </w:rPr>
  </w:style>
  <w:style w:type="character" w:styleId="a8">
    <w:name w:val="Strong"/>
    <w:basedOn w:val="a0"/>
    <w:uiPriority w:val="22"/>
    <w:qFormat/>
    <w:rPr>
      <w:b/>
    </w:rPr>
  </w:style>
  <w:style w:type="character" w:styleId="a9">
    <w:name w:val="FollowedHyperlink"/>
    <w:basedOn w:val="a0"/>
    <w:uiPriority w:val="99"/>
    <w:semiHidden/>
    <w:unhideWhenUsed/>
    <w:rPr>
      <w:color w:val="3D3D3D"/>
      <w:u w:val="none"/>
    </w:rPr>
  </w:style>
  <w:style w:type="character" w:styleId="aa">
    <w:name w:val="Hyperlink"/>
    <w:basedOn w:val="a0"/>
    <w:uiPriority w:val="99"/>
    <w:semiHidden/>
    <w:unhideWhenUsed/>
    <w:rPr>
      <w:color w:val="3D3D3D"/>
      <w:u w:val="none"/>
    </w:rPr>
  </w:style>
  <w:style w:type="character" w:customStyle="1" w:styleId="a4">
    <w:name w:val="日期字符"/>
    <w:basedOn w:val="a0"/>
    <w:link w:val="a3"/>
    <w:uiPriority w:val="99"/>
    <w:rPr>
      <w:b/>
      <w:sz w:val="48"/>
      <w:szCs w:val="48"/>
    </w:rPr>
  </w:style>
  <w:style w:type="paragraph" w:styleId="ab">
    <w:name w:val="List Paragraph"/>
    <w:basedOn w:val="a"/>
    <w:uiPriority w:val="34"/>
    <w:qFormat/>
    <w:pPr>
      <w:ind w:firstLineChars="200" w:firstLine="420"/>
    </w:pPr>
  </w:style>
  <w:style w:type="character" w:customStyle="1" w:styleId="sptime1">
    <w:name w:val="sp_time1"/>
    <w:basedOn w:val="a0"/>
    <w:rPr>
      <w:color w:val="333333"/>
      <w:sz w:val="19"/>
      <w:szCs w:val="19"/>
      <w:shd w:val="clear" w:color="auto" w:fill="F9F9F9"/>
    </w:rPr>
  </w:style>
  <w:style w:type="character" w:customStyle="1" w:styleId="10">
    <w:name w:val="标题 1字符"/>
    <w:basedOn w:val="a0"/>
    <w:link w:val="1"/>
    <w:rPr>
      <w:rFonts w:ascii="微软雅黑" w:eastAsia="微软雅黑" w:hAnsi="微软雅黑" w:cs="微软雅黑" w:hint="eastAsia"/>
      <w:color w:val="000000"/>
      <w:sz w:val="30"/>
    </w:rPr>
  </w:style>
  <w:style w:type="character" w:customStyle="1" w:styleId="disabled">
    <w:name w:val="disabled"/>
    <w:basedOn w:val="a0"/>
    <w:rPr>
      <w:color w:val="888888"/>
    </w:rPr>
  </w:style>
  <w:style w:type="character" w:customStyle="1" w:styleId="fttime">
    <w:name w:val="ft_time"/>
    <w:basedOn w:val="a0"/>
    <w:rPr>
      <w:color w:val="888888"/>
    </w:rPr>
  </w:style>
  <w:style w:type="character" w:customStyle="1" w:styleId="bsharetext">
    <w:name w:val="bsharetext"/>
    <w:basedOn w:val="a0"/>
  </w:style>
  <w:style w:type="character" w:customStyle="1" w:styleId="language2">
    <w:name w:val="language2"/>
    <w:basedOn w:val="a0"/>
  </w:style>
  <w:style w:type="character" w:customStyle="1" w:styleId="moduletitlemenuitemsel">
    <w:name w:val="moduletitle_menuitemsel"/>
    <w:basedOn w:val="a0"/>
    <w:rPr>
      <w:rFonts w:ascii="Tahoma" w:eastAsia="Tahoma" w:hAnsi="Tahoma" w:cs="Tahoma"/>
      <w:b/>
      <w:color w:val="000000"/>
      <w:sz w:val="18"/>
      <w:szCs w:val="18"/>
    </w:rPr>
  </w:style>
  <w:style w:type="character" w:customStyle="1" w:styleId="language">
    <w:name w:val="language"/>
    <w:basedOn w:val="a0"/>
  </w:style>
  <w:style w:type="paragraph" w:customStyle="1" w:styleId="pleftluokuan01">
    <w:name w:val="p_left_luokuan01"/>
    <w:basedOn w:val="a"/>
    <w:pPr>
      <w:jc w:val="right"/>
    </w:pPr>
    <w:rPr>
      <w:rFonts w:cs="Times New Roman"/>
      <w:kern w:val="0"/>
    </w:rPr>
  </w:style>
  <w:style w:type="paragraph" w:customStyle="1" w:styleId="pleftluokuan02">
    <w:name w:val="p_left_luokuan02"/>
    <w:basedOn w:val="a"/>
    <w:pPr>
      <w:jc w:val="right"/>
    </w:pPr>
    <w:rPr>
      <w:rFonts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NULL"/><Relationship Id="rId29" Type="http://schemas.openxmlformats.org/officeDocument/2006/relationships/image" Target="media/image16.png"/><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image" Target="media/image17.png"/><Relationship Id="rId31" Type="http://schemas.openxmlformats.org/officeDocument/2006/relationships/image" Target="media/image18.png"/><Relationship Id="rId32" Type="http://schemas.openxmlformats.org/officeDocument/2006/relationships/image" Target="media/image19.png"/><Relationship Id="rId9" Type="http://schemas.openxmlformats.org/officeDocument/2006/relationships/hyperlink" Target="http://paper.people.com.cn/rmrb/html/2018-03/10/nw.D110000renmrb_20180310_2-01.htm" TargetMode="Externa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33" Type="http://schemas.openxmlformats.org/officeDocument/2006/relationships/image" Target="media/image20.png"/><Relationship Id="rId34" Type="http://schemas.openxmlformats.org/officeDocument/2006/relationships/image" Target="media/image21.jpeg"/><Relationship Id="rId35" Type="http://schemas.openxmlformats.org/officeDocument/2006/relationships/hyperlink" Target="http://www.amac.org.cn/xhdt/zxdt/392816.shtml" TargetMode="External"/><Relationship Id="rId36" Type="http://schemas.openxmlformats.org/officeDocument/2006/relationships/image" Target="media/image22.jpeg"/><Relationship Id="rId10" Type="http://schemas.openxmlformats.org/officeDocument/2006/relationships/image" Target="media/image1.jpeg"/><Relationship Id="rId11" Type="http://schemas.openxmlformats.org/officeDocument/2006/relationships/hyperlink" Target="http://paper.people.com.cn/rmrb/html/2018-03/12/nw.D110000renmrb_20180312_2-01.htm" TargetMode="External"/><Relationship Id="rId12" Type="http://schemas.openxmlformats.org/officeDocument/2006/relationships/image" Target="media/image2.jpeg"/><Relationship Id="rId13" Type="http://schemas.openxmlformats.org/officeDocument/2006/relationships/hyperlink" Target="http://paper.people.com.cn/rmrb/html/2018-03/16/nw.D110000renmrb_20180316_2-01.htm" TargetMode="External"/><Relationship Id="rId14" Type="http://schemas.openxmlformats.org/officeDocument/2006/relationships/image" Target="media/image3.jpeg"/><Relationship Id="rId15" Type="http://schemas.openxmlformats.org/officeDocument/2006/relationships/image" Target="media/image4.jpeg"/><Relationship Id="rId16" Type="http://schemas.openxmlformats.org/officeDocument/2006/relationships/hyperlink" Target="http://cjs.ndrc.gov.cn/zcfg/201803/t20180316_879613.html" TargetMode="External"/><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37" Type="http://schemas.openxmlformats.org/officeDocument/2006/relationships/footer" Target="footer3.xml"/><Relationship Id="rId38" Type="http://schemas.openxmlformats.org/officeDocument/2006/relationships/fontTable" Target="fontTable.xml"/><Relationship Id="rId39" Type="http://schemas.openxmlformats.org/officeDocument/2006/relationships/theme" Target="theme/theme1.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11218</Words>
  <Characters>63947</Characters>
  <Application>Microsoft Macintosh Word</Application>
  <DocSecurity>0</DocSecurity>
  <Lines>532</Lines>
  <Paragraphs>150</Paragraphs>
  <ScaleCrop>false</ScaleCrop>
  <LinksUpToDate>false</LinksUpToDate>
  <CharactersWithSpaces>75015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air z</dc:creator>
  <cp:lastModifiedBy>chengxun hou</cp:lastModifiedBy>
  <cp:revision>2</cp:revision>
  <dcterms:created xsi:type="dcterms:W3CDTF">2018-04-08T03:48:00Z</dcterms:created>
  <dcterms:modified xsi:type="dcterms:W3CDTF">2018-04-08T03:48:00Z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2052-10.1.0.7223</vt:lpwstr>
  </property>
</Properties>
</file>