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eastAsia"/>
          <w:sz w:val="48"/>
          <w:szCs w:val="48"/>
        </w:rPr>
      </w:pPr>
    </w:p>
    <w:p>
      <w:pPr>
        <w:spacing w:line="360" w:lineRule="auto"/>
        <w:rPr>
          <w:rFonts w:hint="eastAsia"/>
          <w:sz w:val="48"/>
          <w:szCs w:val="48"/>
        </w:rPr>
      </w:pPr>
    </w:p>
    <w:p>
      <w:pPr>
        <w:spacing w:line="360" w:lineRule="auto"/>
        <w:jc w:val="center"/>
        <w:rPr>
          <w:rFonts w:hint="eastAsia"/>
          <w:b/>
          <w:sz w:val="56"/>
          <w:szCs w:val="56"/>
        </w:rPr>
      </w:pPr>
      <w:r>
        <w:rPr>
          <w:rFonts w:hint="eastAsia"/>
          <w:b/>
          <w:sz w:val="56"/>
          <w:szCs w:val="56"/>
        </w:rPr>
        <w:t>首都金融法讯周刊</w:t>
      </w:r>
    </w:p>
    <w:p>
      <w:pPr>
        <w:spacing w:line="360" w:lineRule="auto"/>
        <w:jc w:val="center"/>
        <w:rPr>
          <w:rFonts w:hint="eastAsia" w:eastAsiaTheme="minorEastAsia"/>
          <w:b/>
          <w:sz w:val="56"/>
          <w:szCs w:val="56"/>
          <w:lang w:val="en-US" w:eastAsia="zh-CN"/>
        </w:rPr>
      </w:pPr>
      <w:r>
        <w:rPr>
          <w:rFonts w:hint="eastAsia"/>
          <w:b/>
          <w:sz w:val="56"/>
          <w:szCs w:val="56"/>
          <w:lang w:val="en-US" w:eastAsia="zh-CN"/>
        </w:rPr>
        <w:t>2018.2.17-2018.2.23</w:t>
      </w:r>
    </w:p>
    <w:p>
      <w:pPr>
        <w:spacing w:line="360" w:lineRule="auto"/>
        <w:jc w:val="center"/>
        <w:rPr>
          <w:rFonts w:hint="eastAsia"/>
          <w:b/>
          <w:sz w:val="56"/>
          <w:szCs w:val="56"/>
        </w:rPr>
      </w:pPr>
      <w:r>
        <w:rPr>
          <w:rFonts w:hint="eastAsia"/>
          <w:b/>
          <w:sz w:val="56"/>
          <w:szCs w:val="56"/>
        </w:rPr>
        <w:t>（第</w:t>
      </w:r>
      <w:r>
        <w:rPr>
          <w:rFonts w:hint="eastAsia"/>
          <w:b/>
          <w:sz w:val="56"/>
          <w:szCs w:val="56"/>
          <w:lang w:val="en-US" w:eastAsia="zh-CN"/>
        </w:rPr>
        <w:t>8</w:t>
      </w:r>
      <w:r>
        <w:rPr>
          <w:rFonts w:hint="eastAsia"/>
          <w:b/>
          <w:sz w:val="56"/>
          <w:szCs w:val="56"/>
        </w:rPr>
        <w:t>期）</w:t>
      </w: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sz w:val="56"/>
          <w:szCs w:val="56"/>
        </w:rPr>
      </w:pPr>
    </w:p>
    <w:p>
      <w:pPr>
        <w:spacing w:line="360" w:lineRule="auto"/>
        <w:jc w:val="center"/>
        <w:rPr>
          <w:rFonts w:hint="eastAsia"/>
          <w:b/>
          <w:sz w:val="48"/>
          <w:szCs w:val="48"/>
        </w:rPr>
      </w:pPr>
    </w:p>
    <w:p>
      <w:pPr>
        <w:spacing w:line="360" w:lineRule="auto"/>
        <w:jc w:val="both"/>
        <w:rPr>
          <w:rFonts w:hint="eastAsia"/>
          <w:b/>
          <w:sz w:val="48"/>
          <w:szCs w:val="48"/>
        </w:rPr>
      </w:pPr>
    </w:p>
    <w:p>
      <w:pPr>
        <w:spacing w:line="360" w:lineRule="auto"/>
        <w:jc w:val="center"/>
        <w:rPr>
          <w:rFonts w:hint="eastAsia"/>
          <w:b/>
          <w:sz w:val="48"/>
          <w:szCs w:val="48"/>
        </w:rPr>
      </w:pPr>
      <w:r>
        <w:rPr>
          <w:rFonts w:hint="eastAsia"/>
          <w:b/>
          <w:sz w:val="48"/>
          <w:szCs w:val="48"/>
        </w:rPr>
        <w:t>北京市中永律师事务所</w:t>
      </w:r>
    </w:p>
    <w:p>
      <w:pPr>
        <w:spacing w:line="360" w:lineRule="auto"/>
        <w:jc w:val="center"/>
        <w:rPr>
          <w:rFonts w:hint="eastAsia"/>
          <w:b/>
          <w:sz w:val="48"/>
          <w:szCs w:val="48"/>
        </w:rPr>
      </w:pPr>
    </w:p>
    <w:p>
      <w:pPr>
        <w:pStyle w:val="3"/>
        <w:ind w:left="98" w:leftChars="41"/>
        <w:jc w:val="center"/>
        <w:rPr>
          <w:rFonts w:hint="eastAsia"/>
        </w:rPr>
      </w:pPr>
      <w:r>
        <w:rPr>
          <w:rFonts w:hint="eastAsia"/>
        </w:rPr>
        <w:t>201</w:t>
      </w:r>
      <w:r>
        <w:rPr>
          <w:rFonts w:hint="eastAsia"/>
          <w:lang w:val="en-US" w:eastAsia="zh-CN"/>
        </w:rPr>
        <w:t>8</w:t>
      </w:r>
      <w:r>
        <w:rPr>
          <w:rFonts w:hint="eastAsia"/>
        </w:rPr>
        <w:t>年</w:t>
      </w:r>
    </w:p>
    <w:p>
      <w:pPr>
        <w:spacing w:line="360" w:lineRule="auto"/>
        <w:jc w:val="center"/>
        <w:rPr>
          <w:rFonts w:hint="eastAsia"/>
          <w:b/>
          <w:sz w:val="48"/>
          <w:szCs w:val="48"/>
        </w:rPr>
      </w:pPr>
    </w:p>
    <w:p>
      <w:pPr>
        <w:spacing w:line="360" w:lineRule="auto"/>
        <w:jc w:val="center"/>
        <w:rPr>
          <w:rFonts w:hint="eastAsia"/>
          <w:b/>
          <w:sz w:val="28"/>
          <w:szCs w:val="28"/>
        </w:rPr>
      </w:pPr>
    </w:p>
    <w:p>
      <w:pPr>
        <w:spacing w:line="360" w:lineRule="auto"/>
        <w:jc w:val="center"/>
        <w:rPr>
          <w:rFonts w:hint="eastAsia"/>
          <w:b/>
          <w:sz w:val="28"/>
          <w:szCs w:val="28"/>
        </w:rPr>
      </w:pPr>
      <w:r>
        <w:rPr>
          <w:rFonts w:hint="eastAsia"/>
          <w:b/>
          <w:sz w:val="28"/>
          <w:szCs w:val="28"/>
        </w:rPr>
        <w:t>首都金融法讯周刊</w:t>
      </w:r>
    </w:p>
    <w:p>
      <w:pPr>
        <w:spacing w:line="360" w:lineRule="auto"/>
        <w:jc w:val="center"/>
        <w:rPr>
          <w:rFonts w:hint="eastAsia"/>
          <w:b/>
          <w:sz w:val="48"/>
          <w:szCs w:val="48"/>
        </w:rPr>
      </w:pPr>
    </w:p>
    <w:p>
      <w:pPr>
        <w:pStyle w:val="6"/>
        <w:tabs>
          <w:tab w:val="right" w:leader="hyphen" w:pos="8300"/>
        </w:tabs>
        <w:spacing w:line="360" w:lineRule="auto"/>
        <w:rPr>
          <w:rFonts w:hint="eastAsia" w:ascii="仿宋" w:hAnsi="仿宋" w:eastAsia="仿宋" w:cs="仿宋"/>
          <w:b/>
          <w:bCs/>
        </w:rPr>
      </w:pPr>
      <w:r>
        <w:rPr>
          <w:rFonts w:hint="eastAsia" w:ascii="仿宋" w:hAnsi="仿宋" w:eastAsia="仿宋" w:cs="仿宋"/>
          <w:b/>
          <w:sz w:val="28"/>
          <w:szCs w:val="28"/>
        </w:rPr>
        <w:fldChar w:fldCharType="begin"/>
      </w:r>
      <w:r>
        <w:rPr>
          <w:rFonts w:hint="eastAsia" w:ascii="仿宋" w:hAnsi="仿宋" w:eastAsia="仿宋" w:cs="仿宋"/>
          <w:b/>
          <w:sz w:val="28"/>
          <w:szCs w:val="28"/>
        </w:rPr>
        <w:instrText xml:space="preserve">TOC \o "1-3" \h \u </w:instrText>
      </w:r>
      <w:r>
        <w:rPr>
          <w:rFonts w:hint="eastAsia" w:ascii="仿宋" w:hAnsi="仿宋" w:eastAsia="仿宋" w:cs="仿宋"/>
          <w:b/>
          <w:sz w:val="28"/>
          <w:szCs w:val="28"/>
        </w:rPr>
        <w:fldChar w:fldCharType="separate"/>
      </w: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_Toc18166 </w:instrText>
      </w:r>
      <w:r>
        <w:rPr>
          <w:rFonts w:hint="eastAsia" w:ascii="仿宋" w:hAnsi="仿宋" w:eastAsia="仿宋" w:cs="仿宋"/>
          <w:b/>
          <w:bCs/>
          <w:szCs w:val="28"/>
        </w:rPr>
        <w:fldChar w:fldCharType="separate"/>
      </w:r>
      <w:r>
        <w:rPr>
          <w:rFonts w:hint="eastAsia" w:ascii="仿宋" w:hAnsi="仿宋" w:eastAsia="仿宋" w:cs="仿宋"/>
          <w:b/>
          <w:bCs/>
        </w:rPr>
        <w:t>1. 金融大政</w:t>
      </w:r>
      <w:r>
        <w:rPr>
          <w:rFonts w:hint="eastAsia" w:ascii="仿宋" w:hAnsi="仿宋" w:eastAsia="仿宋" w:cs="仿宋"/>
          <w:b/>
          <w:bCs/>
          <w:szCs w:val="28"/>
        </w:rPr>
        <w:fldChar w:fldCharType="end"/>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"中共中央政治局常务委员会召开会议听取河北雄安新区规划编制情况的汇报中共中央总" </w:instrText>
      </w:r>
      <w:r>
        <w:rPr>
          <w:rFonts w:hint="eastAsia" w:ascii="仿宋" w:hAnsi="仿宋" w:eastAsia="仿宋" w:cs="仿宋"/>
          <w:color w:val="auto"/>
          <w:u w:val="none"/>
        </w:rPr>
        <w:fldChar w:fldCharType="separate"/>
      </w:r>
      <w:r>
        <w:rPr>
          <w:rStyle w:val="12"/>
          <w:rFonts w:hint="eastAsia" w:ascii="仿宋" w:hAnsi="仿宋" w:eastAsia="仿宋" w:cs="仿宋"/>
        </w:rPr>
        <w:t>1.1  中共中央政治局常务委员会召开会议 听取河北雄安新区规划编制情况的汇报 中共中央总书记习近平主持会议</w:t>
      </w:r>
      <w:r>
        <w:rPr>
          <w:rStyle w:val="12"/>
          <w:rFonts w:hint="eastAsia" w:ascii="仿宋" w:hAnsi="仿宋" w:eastAsia="仿宋" w:cs="仿宋"/>
        </w:rPr>
        <w:tab/>
      </w:r>
      <w:r>
        <w:rPr>
          <w:rStyle w:val="12"/>
          <w:rFonts w:hint="eastAsia" w:ascii="仿宋" w:hAnsi="仿宋" w:eastAsia="仿宋" w:cs="仿宋"/>
          <w:lang w:val="en-US" w:eastAsia="zh-CN"/>
        </w:rPr>
        <w:t>1</w:t>
      </w:r>
      <w:r>
        <w:rPr>
          <w:rFonts w:hint="eastAsia" w:ascii="仿宋" w:hAnsi="仿宋" w:eastAsia="仿宋" w:cs="仿宋"/>
          <w:color w:val="auto"/>
          <w:u w:val="none"/>
        </w:rPr>
        <w:fldChar w:fldCharType="end"/>
      </w:r>
    </w:p>
    <w:p>
      <w:pPr>
        <w:pStyle w:val="6"/>
        <w:tabs>
          <w:tab w:val="right" w:leader="hyphen" w:pos="8300"/>
        </w:tabs>
        <w:spacing w:line="360" w:lineRule="auto"/>
        <w:rPr>
          <w:rFonts w:hint="eastAsia" w:ascii="仿宋" w:hAnsi="仿宋" w:eastAsia="仿宋" w:cs="仿宋"/>
          <w:b/>
          <w:bCs/>
        </w:rPr>
      </w:pP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_Toc25516 </w:instrText>
      </w:r>
      <w:r>
        <w:rPr>
          <w:rFonts w:hint="eastAsia" w:ascii="仿宋" w:hAnsi="仿宋" w:eastAsia="仿宋" w:cs="仿宋"/>
          <w:b/>
          <w:bCs/>
          <w:szCs w:val="28"/>
        </w:rPr>
        <w:fldChar w:fldCharType="separate"/>
      </w:r>
      <w:r>
        <w:rPr>
          <w:rFonts w:hint="eastAsia" w:ascii="仿宋" w:hAnsi="仿宋" w:eastAsia="仿宋" w:cs="仿宋"/>
          <w:b/>
          <w:bCs/>
        </w:rPr>
        <w:t>2. 行业金融监管</w:t>
      </w:r>
      <w:r>
        <w:rPr>
          <w:rFonts w:hint="eastAsia" w:ascii="仿宋" w:hAnsi="仿宋" w:eastAsia="仿宋" w:cs="仿宋"/>
          <w:b/>
          <w:bCs/>
          <w:szCs w:val="28"/>
        </w:rPr>
        <w:fldChar w:fldCharType="end"/>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"刘士余：目前还存在不少与实施注册制改革不完全适应的问题" </w:instrText>
      </w:r>
      <w:r>
        <w:rPr>
          <w:rFonts w:hint="eastAsia" w:ascii="仿宋" w:hAnsi="仿宋" w:eastAsia="仿宋" w:cs="仿宋"/>
          <w:color w:val="auto"/>
          <w:u w:val="none"/>
        </w:rPr>
        <w:fldChar w:fldCharType="separate"/>
      </w:r>
      <w:r>
        <w:rPr>
          <w:rStyle w:val="12"/>
          <w:rFonts w:hint="eastAsia" w:ascii="仿宋" w:hAnsi="仿宋" w:eastAsia="仿宋" w:cs="仿宋"/>
        </w:rPr>
        <w:t>2.1</w:t>
      </w:r>
      <w:r>
        <w:rPr>
          <w:rStyle w:val="12"/>
          <w:rFonts w:hint="eastAsia" w:ascii="仿宋" w:hAnsi="仿宋" w:eastAsia="仿宋" w:cs="仿宋"/>
          <w:lang w:val="en-US" w:eastAsia="zh-CN"/>
        </w:rPr>
        <w:t xml:space="preserve"> 刘士余：目前还存在不少与实施注册制改革不完全适应的问题</w:t>
      </w:r>
      <w:r>
        <w:rPr>
          <w:rStyle w:val="12"/>
          <w:rFonts w:hint="eastAsia" w:ascii="仿宋" w:hAnsi="仿宋" w:eastAsia="仿宋" w:cs="仿宋"/>
        </w:rPr>
        <w:tab/>
      </w:r>
      <w:r>
        <w:rPr>
          <w:rStyle w:val="12"/>
          <w:rFonts w:hint="eastAsia" w:ascii="仿宋" w:hAnsi="仿宋" w:eastAsia="仿宋" w:cs="仿宋"/>
          <w:lang w:val="en-US" w:eastAsia="zh-CN"/>
        </w:rPr>
        <w:t>3</w:t>
      </w:r>
      <w:r>
        <w:rPr>
          <w:rFonts w:hint="eastAsia" w:ascii="仿宋" w:hAnsi="仿宋" w:eastAsia="仿宋" w:cs="仿宋"/>
          <w:color w:val="auto"/>
          <w:u w:val="none"/>
        </w:rPr>
        <w:fldChar w:fldCharType="end"/>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"中国保险监督管理委员会关于修改《中华人民共和国外资保险公司管理条例实施细则》等四" </w:instrText>
      </w:r>
      <w:r>
        <w:rPr>
          <w:rFonts w:hint="eastAsia" w:ascii="仿宋" w:hAnsi="仿宋" w:eastAsia="仿宋" w:cs="仿宋"/>
          <w:color w:val="auto"/>
          <w:u w:val="none"/>
        </w:rPr>
        <w:fldChar w:fldCharType="separate"/>
      </w:r>
      <w:r>
        <w:rPr>
          <w:rStyle w:val="12"/>
          <w:rFonts w:hint="eastAsia" w:ascii="仿宋" w:hAnsi="仿宋" w:eastAsia="仿宋" w:cs="仿宋"/>
        </w:rPr>
        <w:t>2.2 中国保险监督管理委员会关于修改《中华人民共和国外资保险公司管理条例实施细则》等四部规章的决定</w:t>
      </w:r>
      <w:r>
        <w:rPr>
          <w:rStyle w:val="12"/>
          <w:rFonts w:hint="eastAsia" w:ascii="仿宋" w:hAnsi="仿宋" w:eastAsia="仿宋" w:cs="仿宋"/>
        </w:rPr>
        <w:tab/>
      </w:r>
      <w:r>
        <w:rPr>
          <w:rStyle w:val="12"/>
          <w:rFonts w:hint="eastAsia" w:ascii="仿宋" w:hAnsi="仿宋" w:eastAsia="仿宋" w:cs="仿宋"/>
          <w:lang w:val="en-US" w:eastAsia="zh-CN"/>
        </w:rPr>
        <w:t>5</w:t>
      </w:r>
      <w:r>
        <w:rPr>
          <w:rFonts w:hint="eastAsia" w:ascii="仿宋" w:hAnsi="仿宋" w:eastAsia="仿宋" w:cs="仿宋"/>
          <w:color w:val="auto"/>
          <w:u w:val="none"/>
        </w:rPr>
        <w:fldChar w:fldCharType="end"/>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"中国保监会关于印发《反保险欺诈指引》的通知" </w:instrText>
      </w:r>
      <w:r>
        <w:rPr>
          <w:rFonts w:hint="eastAsia" w:ascii="仿宋" w:hAnsi="仿宋" w:eastAsia="仿宋" w:cs="仿宋"/>
          <w:color w:val="auto"/>
          <w:u w:val="none"/>
        </w:rPr>
        <w:fldChar w:fldCharType="separate"/>
      </w:r>
      <w:r>
        <w:rPr>
          <w:rStyle w:val="12"/>
          <w:rFonts w:hint="eastAsia" w:ascii="仿宋" w:hAnsi="仿宋" w:eastAsia="仿宋" w:cs="仿宋"/>
        </w:rPr>
        <w:t>2.3 中国保监会关于印发《反保险欺诈指引》的通知</w:t>
      </w:r>
      <w:r>
        <w:rPr>
          <w:rStyle w:val="12"/>
          <w:rFonts w:hint="eastAsia" w:ascii="仿宋" w:hAnsi="仿宋" w:eastAsia="仿宋" w:cs="仿宋"/>
        </w:rPr>
        <w:tab/>
      </w:r>
      <w:r>
        <w:rPr>
          <w:rStyle w:val="12"/>
          <w:rFonts w:hint="eastAsia" w:ascii="仿宋" w:hAnsi="仿宋" w:eastAsia="仿宋" w:cs="仿宋"/>
          <w:lang w:val="en-US" w:eastAsia="zh-CN"/>
        </w:rPr>
        <w:t>7</w:t>
      </w:r>
      <w:r>
        <w:rPr>
          <w:rFonts w:hint="eastAsia" w:ascii="仿宋" w:hAnsi="仿宋" w:eastAsia="仿宋" w:cs="仿宋"/>
          <w:color w:val="auto"/>
          <w:u w:val="none"/>
        </w:rPr>
        <w:fldChar w:fldCharType="end"/>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rPr>
        <w:fldChar w:fldCharType="begin"/>
      </w:r>
      <w:r>
        <w:rPr>
          <w:rFonts w:hint="eastAsia" w:ascii="仿宋" w:hAnsi="仿宋" w:eastAsia="仿宋" w:cs="仿宋"/>
          <w:color w:val="auto"/>
          <w:u w:val="none"/>
        </w:rPr>
        <w:instrText xml:space="preserve"> HYPERLINK \l "保监会陈文辉：重塑保险监管真正让监管长上牙齿" </w:instrText>
      </w:r>
      <w:r>
        <w:rPr>
          <w:rFonts w:hint="eastAsia" w:ascii="仿宋" w:hAnsi="仿宋" w:eastAsia="仿宋" w:cs="仿宋"/>
          <w:color w:val="auto"/>
          <w:u w:val="none"/>
        </w:rPr>
        <w:fldChar w:fldCharType="separate"/>
      </w:r>
      <w:r>
        <w:rPr>
          <w:rStyle w:val="12"/>
          <w:rFonts w:hint="eastAsia" w:ascii="仿宋" w:hAnsi="仿宋" w:eastAsia="仿宋" w:cs="仿宋"/>
        </w:rPr>
        <w:t>2.4</w:t>
      </w:r>
      <w:r>
        <w:rPr>
          <w:rStyle w:val="12"/>
          <w:rFonts w:hint="eastAsia" w:ascii="仿宋" w:hAnsi="仿宋" w:eastAsia="仿宋" w:cs="仿宋"/>
          <w:lang w:val="en-US" w:eastAsia="zh-CN"/>
        </w:rPr>
        <w:t xml:space="preserve"> 保监会陈文辉：重塑保险监管 真正让监管长上牙齿</w:t>
      </w:r>
      <w:r>
        <w:rPr>
          <w:rStyle w:val="12"/>
          <w:rFonts w:hint="eastAsia" w:ascii="仿宋" w:hAnsi="仿宋" w:eastAsia="仿宋" w:cs="仿宋"/>
        </w:rPr>
        <w:tab/>
      </w:r>
      <w:r>
        <w:rPr>
          <w:rStyle w:val="12"/>
          <w:rFonts w:hint="eastAsia" w:ascii="仿宋" w:hAnsi="仿宋" w:eastAsia="仿宋" w:cs="仿宋"/>
          <w:lang w:val="en-US" w:eastAsia="zh-CN"/>
        </w:rPr>
        <w:t>2</w:t>
      </w:r>
      <w:r>
        <w:rPr>
          <w:rFonts w:hint="eastAsia" w:ascii="仿宋" w:hAnsi="仿宋" w:eastAsia="仿宋" w:cs="仿宋"/>
          <w:color w:val="auto"/>
          <w:u w:val="none"/>
        </w:rPr>
        <w:fldChar w:fldCharType="end"/>
      </w:r>
      <w:r>
        <w:rPr>
          <w:rFonts w:hint="eastAsia" w:ascii="仿宋" w:hAnsi="仿宋" w:eastAsia="仿宋" w:cs="仿宋"/>
          <w:color w:val="auto"/>
          <w:u w:val="none"/>
          <w:lang w:val="en-US" w:eastAsia="zh-CN"/>
        </w:rPr>
        <w:t>4</w:t>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"中国保监会关于中国平安财产保险股份有限公司在西藏、甘肃和新疆等地复制推广农业保险" </w:instrText>
      </w:r>
      <w:r>
        <w:rPr>
          <w:rFonts w:hint="eastAsia" w:ascii="仿宋" w:hAnsi="仿宋" w:eastAsia="仿宋" w:cs="仿宋"/>
          <w:color w:val="auto"/>
          <w:u w:val="none"/>
          <w:lang w:val="en-US" w:eastAsia="zh-CN"/>
        </w:rPr>
        <w:fldChar w:fldCharType="separate"/>
      </w:r>
      <w:r>
        <w:rPr>
          <w:rStyle w:val="12"/>
          <w:rFonts w:hint="eastAsia" w:ascii="仿宋" w:hAnsi="仿宋" w:eastAsia="仿宋" w:cs="仿宋"/>
          <w:lang w:val="en-US" w:eastAsia="zh-CN"/>
        </w:rPr>
        <w:t>2.5 中国保监会关于中国平安财产保险股份有限公司在西藏、甘肃和新疆等地复制推广农业保险产业扶贫模式试点有关事宜的函</w:t>
      </w:r>
      <w:r>
        <w:rPr>
          <w:rStyle w:val="12"/>
          <w:rFonts w:hint="eastAsia" w:ascii="仿宋" w:hAnsi="仿宋" w:eastAsia="仿宋" w:cs="仿宋"/>
        </w:rPr>
        <w:tab/>
      </w:r>
      <w:r>
        <w:rPr>
          <w:rStyle w:val="12"/>
          <w:rFonts w:hint="eastAsia" w:ascii="仿宋" w:hAnsi="仿宋" w:eastAsia="仿宋" w:cs="仿宋"/>
          <w:lang w:val="en-US" w:eastAsia="zh-CN"/>
        </w:rPr>
        <w:t>2</w:t>
      </w:r>
      <w:r>
        <w:rPr>
          <w:rFonts w:hint="eastAsia" w:ascii="仿宋" w:hAnsi="仿宋" w:eastAsia="仿宋" w:cs="仿宋"/>
          <w:color w:val="auto"/>
          <w:u w:val="none"/>
          <w:lang w:val="en-US" w:eastAsia="zh-CN"/>
        </w:rPr>
        <w:fldChar w:fldCharType="end"/>
      </w:r>
      <w:r>
        <w:rPr>
          <w:rFonts w:hint="eastAsia" w:ascii="仿宋" w:hAnsi="仿宋" w:eastAsia="仿宋" w:cs="仿宋"/>
          <w:color w:val="auto"/>
          <w:u w:val="none"/>
          <w:lang w:val="en-US" w:eastAsia="zh-CN"/>
        </w:rPr>
        <w:t>8</w:t>
      </w:r>
    </w:p>
    <w:p>
      <w:pPr>
        <w:pStyle w:val="6"/>
        <w:tabs>
          <w:tab w:val="right" w:leader="hyphen" w:pos="8300"/>
        </w:tabs>
        <w:spacing w:line="360" w:lineRule="auto"/>
        <w:rPr>
          <w:rFonts w:hint="eastAsia" w:ascii="仿宋" w:hAnsi="仿宋" w:eastAsia="仿宋" w:cs="仿宋"/>
          <w:b/>
          <w:bCs/>
        </w:rPr>
      </w:pPr>
      <w:r>
        <w:rPr>
          <w:rFonts w:hint="eastAsia" w:ascii="仿宋" w:hAnsi="仿宋" w:eastAsia="仿宋" w:cs="仿宋"/>
          <w:b/>
          <w:bCs/>
          <w:szCs w:val="28"/>
        </w:rPr>
        <w:fldChar w:fldCharType="begin"/>
      </w:r>
      <w:r>
        <w:rPr>
          <w:rFonts w:hint="eastAsia" w:ascii="仿宋" w:hAnsi="仿宋" w:eastAsia="仿宋" w:cs="仿宋"/>
          <w:b/>
          <w:bCs/>
          <w:szCs w:val="28"/>
        </w:rPr>
        <w:instrText xml:space="preserve"> HYPERLINK \l _Toc14069 </w:instrText>
      </w:r>
      <w:r>
        <w:rPr>
          <w:rFonts w:hint="eastAsia" w:ascii="仿宋" w:hAnsi="仿宋" w:eastAsia="仿宋" w:cs="仿宋"/>
          <w:b/>
          <w:bCs/>
          <w:szCs w:val="28"/>
        </w:rPr>
        <w:fldChar w:fldCharType="separate"/>
      </w:r>
      <w:r>
        <w:rPr>
          <w:rFonts w:hint="eastAsia" w:ascii="仿宋" w:hAnsi="仿宋" w:eastAsia="仿宋" w:cs="仿宋"/>
          <w:b/>
          <w:bCs/>
          <w:lang w:val="en-US" w:eastAsia="zh-CN"/>
        </w:rPr>
        <w:t>3</w:t>
      </w:r>
      <w:r>
        <w:rPr>
          <w:rFonts w:hint="eastAsia" w:ascii="仿宋" w:hAnsi="仿宋" w:eastAsia="仿宋" w:cs="仿宋"/>
          <w:b/>
          <w:bCs/>
        </w:rPr>
        <w:t>. 地方金融监管</w:t>
      </w:r>
      <w:r>
        <w:rPr>
          <w:rFonts w:hint="eastAsia" w:ascii="仿宋" w:hAnsi="仿宋" w:eastAsia="仿宋" w:cs="仿宋"/>
          <w:b/>
          <w:bCs/>
          <w:szCs w:val="28"/>
        </w:rPr>
        <w:fldChar w:fldCharType="end"/>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"央行：保持货币政策\“稳健中性\”居各大任务之首" </w:instrText>
      </w:r>
      <w:r>
        <w:rPr>
          <w:rFonts w:hint="eastAsia" w:ascii="仿宋" w:hAnsi="仿宋" w:eastAsia="仿宋" w:cs="仿宋"/>
          <w:color w:val="auto"/>
          <w:u w:val="none"/>
          <w:lang w:val="en-US" w:eastAsia="zh-CN"/>
        </w:rPr>
        <w:fldChar w:fldCharType="separate"/>
      </w:r>
      <w:r>
        <w:rPr>
          <w:rStyle w:val="12"/>
          <w:rFonts w:hint="eastAsia" w:ascii="仿宋" w:hAnsi="仿宋" w:eastAsia="仿宋" w:cs="仿宋"/>
          <w:lang w:val="en-US" w:eastAsia="zh-CN"/>
        </w:rPr>
        <w:t>3</w:t>
      </w:r>
      <w:r>
        <w:rPr>
          <w:rStyle w:val="12"/>
          <w:rFonts w:hint="eastAsia" w:ascii="仿宋" w:hAnsi="仿宋" w:eastAsia="仿宋" w:cs="仿宋"/>
        </w:rPr>
        <w:t>.1 央行：保持货币政策“稳健中性”居各大任务之首</w:t>
      </w:r>
      <w:r>
        <w:rPr>
          <w:rStyle w:val="12"/>
          <w:rFonts w:hint="eastAsia" w:ascii="仿宋" w:hAnsi="仿宋" w:eastAsia="仿宋" w:cs="仿宋"/>
        </w:rPr>
        <w:tab/>
      </w:r>
      <w:r>
        <w:rPr>
          <w:rStyle w:val="12"/>
          <w:rFonts w:hint="eastAsia" w:ascii="仿宋" w:hAnsi="仿宋" w:eastAsia="仿宋" w:cs="仿宋"/>
          <w:lang w:val="en-US" w:eastAsia="zh-CN"/>
        </w:rPr>
        <w:t>2</w:t>
      </w:r>
      <w:r>
        <w:rPr>
          <w:rFonts w:hint="eastAsia" w:ascii="仿宋" w:hAnsi="仿宋" w:eastAsia="仿宋" w:cs="仿宋"/>
          <w:color w:val="auto"/>
          <w:u w:val="none"/>
          <w:lang w:val="en-US" w:eastAsia="zh-CN"/>
        </w:rPr>
        <w:fldChar w:fldCharType="end"/>
      </w:r>
      <w:r>
        <w:rPr>
          <w:rFonts w:hint="eastAsia" w:ascii="仿宋" w:hAnsi="仿宋" w:eastAsia="仿宋" w:cs="仿宋"/>
          <w:color w:val="auto"/>
          <w:u w:val="none"/>
          <w:lang w:val="en-US" w:eastAsia="zh-CN"/>
        </w:rPr>
        <w:t>9</w:t>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"一行三会勾勒金融任务图多个\“首次提出\”引关注" </w:instrText>
      </w:r>
      <w:r>
        <w:rPr>
          <w:rFonts w:hint="eastAsia" w:ascii="仿宋" w:hAnsi="仿宋" w:eastAsia="仿宋" w:cs="仿宋"/>
          <w:color w:val="auto"/>
          <w:u w:val="none"/>
          <w:lang w:val="en-US" w:eastAsia="zh-CN"/>
        </w:rPr>
        <w:fldChar w:fldCharType="separate"/>
      </w:r>
      <w:r>
        <w:rPr>
          <w:rStyle w:val="12"/>
          <w:rFonts w:hint="eastAsia" w:ascii="仿宋" w:hAnsi="仿宋" w:eastAsia="仿宋" w:cs="仿宋"/>
          <w:lang w:val="en-US" w:eastAsia="zh-CN"/>
        </w:rPr>
        <w:t>3</w:t>
      </w:r>
      <w:r>
        <w:rPr>
          <w:rStyle w:val="12"/>
          <w:rFonts w:hint="eastAsia" w:ascii="仿宋" w:hAnsi="仿宋" w:eastAsia="仿宋" w:cs="仿宋"/>
        </w:rPr>
        <w:t>.2 一行三会勾勒金融任务图 多个“首次提出”引关注</w:t>
      </w:r>
      <w:r>
        <w:rPr>
          <w:rStyle w:val="12"/>
          <w:rFonts w:hint="eastAsia" w:ascii="仿宋" w:hAnsi="仿宋" w:eastAsia="仿宋" w:cs="仿宋"/>
        </w:rPr>
        <w:tab/>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32</w:t>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"监管发力：同业理财告别野蛮生长" </w:instrText>
      </w:r>
      <w:r>
        <w:rPr>
          <w:rFonts w:hint="eastAsia" w:ascii="仿宋" w:hAnsi="仿宋" w:eastAsia="仿宋" w:cs="仿宋"/>
          <w:color w:val="auto"/>
          <w:u w:val="none"/>
          <w:lang w:val="en-US" w:eastAsia="zh-CN"/>
        </w:rPr>
        <w:fldChar w:fldCharType="separate"/>
      </w:r>
      <w:r>
        <w:rPr>
          <w:rStyle w:val="12"/>
          <w:rFonts w:hint="eastAsia" w:ascii="仿宋" w:hAnsi="仿宋" w:eastAsia="仿宋" w:cs="仿宋"/>
          <w:lang w:val="en-US" w:eastAsia="zh-CN"/>
        </w:rPr>
        <w:t>3</w:t>
      </w:r>
      <w:r>
        <w:rPr>
          <w:rStyle w:val="12"/>
          <w:rFonts w:hint="eastAsia" w:ascii="仿宋" w:hAnsi="仿宋" w:eastAsia="仿宋" w:cs="仿宋"/>
        </w:rPr>
        <w:t>.3</w:t>
      </w:r>
      <w:r>
        <w:rPr>
          <w:rStyle w:val="12"/>
          <w:rFonts w:hint="eastAsia" w:ascii="仿宋" w:hAnsi="仿宋" w:eastAsia="仿宋" w:cs="仿宋"/>
          <w:lang w:val="en-US" w:eastAsia="zh-CN"/>
        </w:rPr>
        <w:t xml:space="preserve"> 监管发力：同业理财告别野蛮生长</w:t>
      </w:r>
      <w:r>
        <w:rPr>
          <w:rStyle w:val="12"/>
          <w:rFonts w:hint="eastAsia" w:ascii="仿宋" w:hAnsi="仿宋" w:eastAsia="仿宋" w:cs="仿宋"/>
        </w:rPr>
        <w:tab/>
      </w:r>
      <w:r>
        <w:rPr>
          <w:rFonts w:hint="eastAsia" w:ascii="仿宋" w:hAnsi="仿宋" w:eastAsia="仿宋" w:cs="仿宋"/>
          <w:color w:val="auto"/>
          <w:u w:val="none"/>
          <w:lang w:val="en-US" w:eastAsia="zh-CN"/>
        </w:rPr>
        <w:fldChar w:fldCharType="end"/>
      </w:r>
      <w:r>
        <w:rPr>
          <w:rFonts w:hint="eastAsia" w:ascii="仿宋" w:hAnsi="仿宋" w:eastAsia="仿宋" w:cs="仿宋"/>
          <w:szCs w:val="28"/>
          <w:lang w:val="en-US" w:eastAsia="zh-CN"/>
        </w:rPr>
        <w:t>39</w:t>
      </w:r>
    </w:p>
    <w:p>
      <w:pPr>
        <w:pStyle w:val="6"/>
        <w:tabs>
          <w:tab w:val="right" w:leader="hyphen" w:pos="8300"/>
        </w:tabs>
        <w:spacing w:line="360" w:lineRule="auto"/>
        <w:rPr>
          <w:rFonts w:hint="eastAsia" w:ascii="仿宋" w:hAnsi="仿宋" w:eastAsia="仿宋" w:cs="仿宋"/>
          <w:b/>
          <w:bCs/>
          <w:i w:val="0"/>
          <w:iCs w:val="0"/>
        </w:rPr>
      </w:pPr>
      <w:r>
        <w:rPr>
          <w:rFonts w:hint="eastAsia" w:ascii="仿宋" w:hAnsi="仿宋" w:eastAsia="仿宋" w:cs="仿宋"/>
          <w:b/>
          <w:bCs/>
          <w:i w:val="0"/>
          <w:iCs w:val="0"/>
          <w:szCs w:val="28"/>
        </w:rPr>
        <w:fldChar w:fldCharType="begin"/>
      </w:r>
      <w:r>
        <w:rPr>
          <w:rFonts w:hint="eastAsia" w:ascii="仿宋" w:hAnsi="仿宋" w:eastAsia="仿宋" w:cs="仿宋"/>
          <w:b/>
          <w:bCs/>
          <w:i w:val="0"/>
          <w:iCs w:val="0"/>
          <w:szCs w:val="28"/>
        </w:rPr>
        <w:instrText xml:space="preserve"> HYPERLINK \l _Toc6460 </w:instrText>
      </w:r>
      <w:r>
        <w:rPr>
          <w:rFonts w:hint="eastAsia" w:ascii="仿宋" w:hAnsi="仿宋" w:eastAsia="仿宋" w:cs="仿宋"/>
          <w:b/>
          <w:bCs/>
          <w:i w:val="0"/>
          <w:iCs w:val="0"/>
          <w:szCs w:val="28"/>
        </w:rPr>
        <w:fldChar w:fldCharType="separate"/>
      </w:r>
      <w:r>
        <w:rPr>
          <w:rFonts w:hint="eastAsia" w:ascii="仿宋" w:hAnsi="仿宋" w:eastAsia="仿宋" w:cs="仿宋"/>
          <w:b/>
          <w:bCs/>
          <w:i w:val="0"/>
          <w:iCs w:val="0"/>
          <w:lang w:val="en-US" w:eastAsia="zh-CN"/>
        </w:rPr>
        <w:t>4</w:t>
      </w:r>
      <w:r>
        <w:rPr>
          <w:rFonts w:hint="eastAsia" w:ascii="仿宋" w:hAnsi="仿宋" w:eastAsia="仿宋" w:cs="仿宋"/>
          <w:b/>
          <w:bCs/>
          <w:i w:val="0"/>
          <w:iCs w:val="0"/>
        </w:rPr>
        <w:t>. 司法监管</w:t>
      </w:r>
      <w:r>
        <w:rPr>
          <w:rFonts w:hint="eastAsia" w:ascii="仿宋" w:hAnsi="仿宋" w:eastAsia="仿宋" w:cs="仿宋"/>
          <w:b/>
          <w:bCs/>
          <w:i w:val="0"/>
          <w:iCs w:val="0"/>
          <w:szCs w:val="28"/>
        </w:rPr>
        <w:fldChar w:fldCharType="end"/>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"最高人民法院关于人民法院办理仲裁裁决执行案件若干问题的规定" </w:instrText>
      </w:r>
      <w:r>
        <w:rPr>
          <w:rFonts w:hint="eastAsia" w:ascii="仿宋" w:hAnsi="仿宋" w:eastAsia="仿宋" w:cs="仿宋"/>
          <w:color w:val="auto"/>
          <w:u w:val="none"/>
          <w:lang w:val="en-US" w:eastAsia="zh-CN"/>
        </w:rPr>
        <w:fldChar w:fldCharType="separate"/>
      </w:r>
      <w:r>
        <w:rPr>
          <w:rStyle w:val="12"/>
          <w:rFonts w:hint="eastAsia" w:ascii="仿宋" w:hAnsi="仿宋" w:eastAsia="仿宋" w:cs="仿宋"/>
          <w:lang w:val="en-US" w:eastAsia="zh-CN"/>
        </w:rPr>
        <w:t>4</w:t>
      </w:r>
      <w:r>
        <w:rPr>
          <w:rStyle w:val="12"/>
          <w:rFonts w:hint="eastAsia" w:ascii="仿宋" w:hAnsi="仿宋" w:eastAsia="仿宋" w:cs="仿宋"/>
        </w:rPr>
        <w:t>.1</w:t>
      </w:r>
      <w:r>
        <w:rPr>
          <w:rStyle w:val="12"/>
          <w:rFonts w:hint="eastAsia" w:ascii="仿宋" w:hAnsi="仿宋" w:eastAsia="仿宋" w:cs="仿宋"/>
          <w:lang w:val="en-US" w:eastAsia="zh-CN"/>
        </w:rPr>
        <w:t xml:space="preserve"> 最高人民法院关于人民法院办理仲裁裁决执行案件若干问题的规定</w:t>
      </w:r>
      <w:r>
        <w:rPr>
          <w:rStyle w:val="12"/>
          <w:rFonts w:hint="eastAsia" w:ascii="仿宋" w:hAnsi="仿宋" w:eastAsia="仿宋" w:cs="仿宋"/>
        </w:rPr>
        <w:tab/>
      </w:r>
      <w:r>
        <w:rPr>
          <w:rStyle w:val="12"/>
          <w:rFonts w:hint="eastAsia" w:ascii="仿宋" w:hAnsi="仿宋" w:eastAsia="仿宋" w:cs="仿宋"/>
          <w:lang w:val="en-US" w:eastAsia="zh-CN"/>
        </w:rPr>
        <w:t>4</w:t>
      </w:r>
      <w:r>
        <w:rPr>
          <w:rFonts w:hint="eastAsia" w:ascii="仿宋" w:hAnsi="仿宋" w:eastAsia="仿宋" w:cs="仿宋"/>
          <w:color w:val="auto"/>
          <w:u w:val="none"/>
          <w:lang w:val="en-US" w:eastAsia="zh-CN"/>
        </w:rPr>
        <w:fldChar w:fldCharType="end"/>
      </w:r>
      <w:r>
        <w:rPr>
          <w:rFonts w:hint="eastAsia" w:ascii="仿宋" w:hAnsi="仿宋" w:eastAsia="仿宋" w:cs="仿宋"/>
          <w:color w:val="auto"/>
          <w:u w:val="none"/>
          <w:lang w:val="en-US" w:eastAsia="zh-CN"/>
        </w:rPr>
        <w:t>4</w:t>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"最高人民法院关于执行担保若干问题的规定" </w:instrText>
      </w:r>
      <w:r>
        <w:rPr>
          <w:rFonts w:hint="eastAsia" w:ascii="仿宋" w:hAnsi="仿宋" w:eastAsia="仿宋" w:cs="仿宋"/>
          <w:color w:val="auto"/>
          <w:u w:val="none"/>
          <w:lang w:val="en-US" w:eastAsia="zh-CN"/>
        </w:rPr>
        <w:fldChar w:fldCharType="separate"/>
      </w:r>
      <w:r>
        <w:rPr>
          <w:rStyle w:val="12"/>
          <w:rFonts w:hint="eastAsia" w:ascii="仿宋" w:hAnsi="仿宋" w:eastAsia="仿宋" w:cs="仿宋"/>
          <w:lang w:val="en-US" w:eastAsia="zh-CN"/>
        </w:rPr>
        <w:t>4.</w:t>
      </w:r>
      <w:r>
        <w:rPr>
          <w:rStyle w:val="12"/>
          <w:rFonts w:hint="eastAsia" w:ascii="仿宋" w:hAnsi="仿宋" w:eastAsia="仿宋" w:cs="仿宋"/>
        </w:rPr>
        <w:t>2</w:t>
      </w:r>
      <w:r>
        <w:rPr>
          <w:rStyle w:val="12"/>
          <w:rFonts w:hint="eastAsia" w:ascii="仿宋" w:hAnsi="仿宋" w:eastAsia="仿宋" w:cs="仿宋"/>
          <w:lang w:val="en-US" w:eastAsia="zh-CN"/>
        </w:rPr>
        <w:t xml:space="preserve"> 最高人民法院关于执行担保若干问题的规定</w:t>
      </w:r>
      <w:r>
        <w:rPr>
          <w:rStyle w:val="12"/>
          <w:rFonts w:hint="eastAsia" w:ascii="仿宋" w:hAnsi="仿宋" w:eastAsia="仿宋" w:cs="仿宋"/>
        </w:rPr>
        <w:tab/>
      </w:r>
      <w:r>
        <w:rPr>
          <w:rStyle w:val="12"/>
          <w:rFonts w:hint="eastAsia" w:ascii="仿宋" w:hAnsi="仿宋" w:eastAsia="仿宋" w:cs="仿宋"/>
          <w:lang w:val="en-US" w:eastAsia="zh-CN"/>
        </w:rPr>
        <w:t>5</w:t>
      </w:r>
      <w:r>
        <w:rPr>
          <w:rFonts w:hint="eastAsia" w:ascii="仿宋" w:hAnsi="仿宋" w:eastAsia="仿宋" w:cs="仿宋"/>
          <w:color w:val="auto"/>
          <w:u w:val="none"/>
          <w:lang w:val="en-US" w:eastAsia="zh-CN"/>
        </w:rPr>
        <w:fldChar w:fldCharType="end"/>
      </w:r>
      <w:r>
        <w:rPr>
          <w:rFonts w:hint="eastAsia" w:ascii="仿宋" w:hAnsi="仿宋" w:eastAsia="仿宋" w:cs="仿宋"/>
          <w:color w:val="auto"/>
          <w:u w:val="none"/>
          <w:lang w:val="en-US" w:eastAsia="zh-CN"/>
        </w:rPr>
        <w:t>2</w:t>
      </w:r>
    </w:p>
    <w:p>
      <w:pPr>
        <w:pStyle w:val="7"/>
        <w:tabs>
          <w:tab w:val="right" w:leader="hyphen" w:pos="8300"/>
        </w:tabs>
        <w:spacing w:line="360" w:lineRule="auto"/>
        <w:rPr>
          <w:rFonts w:hint="eastAsia" w:ascii="仿宋" w:hAnsi="仿宋" w:eastAsia="仿宋" w:cs="仿宋"/>
        </w:rPr>
      </w:pPr>
      <w:r>
        <w:rPr>
          <w:rFonts w:hint="eastAsia" w:ascii="仿宋" w:hAnsi="仿宋" w:eastAsia="仿宋" w:cs="仿宋"/>
          <w:color w:val="auto"/>
          <w:u w:val="none"/>
          <w:lang w:val="en-US" w:eastAsia="zh-CN"/>
        </w:rPr>
        <w:fldChar w:fldCharType="begin"/>
      </w:r>
      <w:r>
        <w:rPr>
          <w:rFonts w:hint="eastAsia" w:ascii="仿宋" w:hAnsi="仿宋" w:eastAsia="仿宋" w:cs="仿宋"/>
          <w:color w:val="auto"/>
          <w:u w:val="none"/>
          <w:lang w:val="en-US" w:eastAsia="zh-CN"/>
        </w:rPr>
        <w:instrText xml:space="preserve"> HYPERLINK \l "最高人民法院关于执行和解若干问题的规定" </w:instrText>
      </w:r>
      <w:r>
        <w:rPr>
          <w:rFonts w:hint="eastAsia" w:ascii="仿宋" w:hAnsi="仿宋" w:eastAsia="仿宋" w:cs="仿宋"/>
          <w:color w:val="auto"/>
          <w:u w:val="none"/>
          <w:lang w:val="en-US" w:eastAsia="zh-CN"/>
        </w:rPr>
        <w:fldChar w:fldCharType="separate"/>
      </w:r>
      <w:r>
        <w:rPr>
          <w:rStyle w:val="12"/>
          <w:rFonts w:hint="eastAsia" w:ascii="仿宋" w:hAnsi="仿宋" w:eastAsia="仿宋" w:cs="仿宋"/>
          <w:lang w:val="en-US" w:eastAsia="zh-CN"/>
        </w:rPr>
        <w:t>4.3 最高人民法院关于执行和解若干问题的规定</w:t>
      </w:r>
      <w:r>
        <w:rPr>
          <w:rStyle w:val="12"/>
          <w:rFonts w:hint="eastAsia" w:ascii="仿宋" w:hAnsi="仿宋" w:eastAsia="仿宋" w:cs="仿宋"/>
        </w:rPr>
        <w:tab/>
      </w:r>
      <w:r>
        <w:rPr>
          <w:rStyle w:val="12"/>
          <w:rFonts w:hint="eastAsia" w:ascii="仿宋" w:hAnsi="仿宋" w:eastAsia="仿宋" w:cs="仿宋"/>
          <w:lang w:val="en-US" w:eastAsia="zh-CN"/>
        </w:rPr>
        <w:t>5</w:t>
      </w:r>
      <w:r>
        <w:rPr>
          <w:rFonts w:hint="eastAsia" w:ascii="仿宋" w:hAnsi="仿宋" w:eastAsia="仿宋" w:cs="仿宋"/>
          <w:color w:val="auto"/>
          <w:u w:val="none"/>
          <w:lang w:val="en-US" w:eastAsia="zh-CN"/>
        </w:rPr>
        <w:fldChar w:fldCharType="end"/>
      </w:r>
      <w:r>
        <w:rPr>
          <w:rFonts w:hint="eastAsia" w:ascii="仿宋" w:hAnsi="仿宋" w:eastAsia="仿宋" w:cs="仿宋"/>
          <w:color w:val="auto"/>
          <w:u w:val="none"/>
          <w:lang w:val="en-US" w:eastAsia="zh-CN"/>
        </w:rPr>
        <w:t>5</w:t>
      </w:r>
      <w:bookmarkStart w:id="12" w:name="_GoBack"/>
      <w:bookmarkEnd w:id="12"/>
    </w:p>
    <w:p>
      <w:pPr>
        <w:spacing w:line="360" w:lineRule="auto"/>
        <w:jc w:val="center"/>
        <w:rPr>
          <w:rFonts w:hint="eastAsia" w:ascii="仿宋" w:hAnsi="仿宋" w:eastAsia="仿宋" w:cs="仿宋"/>
          <w:b/>
          <w:sz w:val="28"/>
          <w:szCs w:val="28"/>
        </w:rPr>
      </w:pPr>
      <w:r>
        <w:rPr>
          <w:rFonts w:hint="eastAsia" w:ascii="仿宋" w:hAnsi="仿宋" w:eastAsia="仿宋" w:cs="仿宋"/>
          <w:szCs w:val="28"/>
        </w:rPr>
        <w:fldChar w:fldCharType="end"/>
      </w:r>
    </w:p>
    <w:p>
      <w:pPr>
        <w:spacing w:line="360" w:lineRule="auto"/>
        <w:jc w:val="left"/>
        <w:rPr>
          <w:rFonts w:hint="eastAsia"/>
          <w:b/>
        </w:rPr>
      </w:pPr>
    </w:p>
    <w:p>
      <w:pPr>
        <w:spacing w:line="360" w:lineRule="auto"/>
        <w:jc w:val="left"/>
        <w:rPr>
          <w:rFonts w:hint="eastAsia"/>
          <w:b/>
        </w:rPr>
      </w:pPr>
    </w:p>
    <w:p>
      <w:pPr>
        <w:spacing w:line="360" w:lineRule="auto"/>
        <w:ind w:firstLine="261" w:firstLineChars="109"/>
        <w:jc w:val="left"/>
        <w:rPr>
          <w:rFonts w:hint="eastAsia"/>
        </w:rPr>
      </w:pPr>
    </w:p>
    <w:p>
      <w:pPr>
        <w:spacing w:line="360" w:lineRule="auto"/>
        <w:jc w:val="left"/>
        <w:rPr>
          <w:rFonts w:hint="eastAsia"/>
          <w:b/>
          <w:sz w:val="28"/>
          <w:szCs w:val="28"/>
        </w:rPr>
      </w:pPr>
    </w:p>
    <w:p>
      <w:pPr>
        <w:spacing w:line="360" w:lineRule="auto"/>
        <w:jc w:val="center"/>
        <w:rPr>
          <w:rFonts w:hint="eastAsia" w:ascii="华文中宋" w:hAnsi="华文中宋" w:eastAsia="华文中宋" w:cs="华文中宋"/>
          <w:b/>
          <w:sz w:val="24"/>
          <w:szCs w:val="24"/>
        </w:rPr>
        <w:sectPr>
          <w:pgSz w:w="11900" w:h="16840"/>
          <w:pgMar w:top="1440" w:right="1800" w:bottom="1440" w:left="1800" w:header="851" w:footer="992" w:gutter="0"/>
          <w:cols w:space="425" w:num="1"/>
          <w:docGrid w:type="lines" w:linePitch="312" w:charSpace="0"/>
        </w:sectPr>
      </w:pPr>
    </w:p>
    <w:p>
      <w:pPr>
        <w:spacing w:line="360" w:lineRule="auto"/>
        <w:jc w:val="center"/>
        <w:rPr>
          <w:rFonts w:hint="eastAsia" w:ascii="华文中宋" w:hAnsi="华文中宋" w:eastAsia="华文中宋" w:cs="华文中宋"/>
          <w:b/>
          <w:sz w:val="24"/>
          <w:szCs w:val="24"/>
        </w:rPr>
      </w:pPr>
      <w:bookmarkStart w:id="0" w:name="中共中央政治局常务委员会召开会议听取河北雄安新区规划编制情况的汇报中共中央总"/>
      <w:r>
        <w:rPr>
          <w:rFonts w:hint="eastAsia" w:ascii="华文中宋" w:hAnsi="华文中宋" w:eastAsia="华文中宋" w:cs="华文中宋"/>
          <w:b/>
          <w:sz w:val="24"/>
          <w:szCs w:val="24"/>
        </w:rPr>
        <w:t>中共中央政治局常务委员会召开会议 听取河北雄安新区规划编制情况的汇报 中共中央总书记习近平主持会议</w:t>
      </w:r>
    </w:p>
    <w:bookmarkEnd w:id="0"/>
    <w:p>
      <w:pPr>
        <w:spacing w:line="360" w:lineRule="auto"/>
        <w:jc w:val="center"/>
        <w:rPr>
          <w:rFonts w:hint="eastAsia" w:ascii="华文楷体" w:hAnsi="华文楷体" w:eastAsia="华文楷体" w:cs="华文楷体"/>
          <w:b w:val="0"/>
          <w:bCs/>
          <w:sz w:val="21"/>
          <w:szCs w:val="21"/>
          <w:lang w:eastAsia="zh-CN"/>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lang w:val="en-US" w:eastAsia="zh-CN"/>
        </w:rPr>
        <w:t>2018年2月22日 来源：新华社</w:t>
      </w:r>
    </w:p>
    <w:p>
      <w:pPr>
        <w:spacing w:line="360" w:lineRule="auto"/>
        <w:jc w:val="both"/>
        <w:rPr>
          <w:rFonts w:hint="eastAsia" w:ascii="华文楷体" w:hAnsi="华文楷体" w:eastAsia="华文楷体" w:cs="华文楷体"/>
          <w:b w:val="0"/>
          <w:bCs/>
          <w:sz w:val="24"/>
          <w:szCs w:val="24"/>
        </w:rPr>
      </w:pPr>
    </w:p>
    <w:p>
      <w:pPr>
        <w:spacing w:line="360" w:lineRule="auto"/>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原标题：中共中央政治局常务委员会召开会议 听取河北雄安新区规划编制情况的汇报 中共中央总书记习近平主持会议</w:t>
      </w:r>
    </w:p>
    <w:p>
      <w:pPr>
        <w:spacing w:line="360" w:lineRule="auto"/>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中共中央政治局常务委员会2月22日召开会议，听取河北雄安新区规划编制情况的汇报。中共中央总书记习近平主持会议并发表重要讲话。</w:t>
      </w:r>
    </w:p>
    <w:p>
      <w:pPr>
        <w:spacing w:line="360" w:lineRule="auto"/>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指出，规划建设雄安新区，是以习近平同志为核心的党中央对深化京津冀协同发展作出的又一项重大决策部署，是一项历史性工程，对承接北京非首都功能、探索人口密集地区优化开发模式、调整优化京津冀空间结构、培育推动高质量发展和建设现代化经济体系的新引擎具有重大现实意义和深远历史意义。</w:t>
      </w:r>
    </w:p>
    <w:p>
      <w:pPr>
        <w:spacing w:line="360" w:lineRule="auto"/>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认为，在党中央领导下，在国务院有关部委和京津两市大力支持下，河北省会同京津冀协同发展领导小组办公室、专家咨询委员会等方面，深入调查论证，充分听取各方意见，反复修改完善，雄安新区规划编制工作取得重要进展。</w:t>
      </w:r>
    </w:p>
    <w:p>
      <w:pPr>
        <w:spacing w:line="360" w:lineRule="auto"/>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强调，雄安新区规划和建设要全面贯彻党的十九大精神，以习近平新时代中国特色社会主义思想为指导，坚持世界眼光、国际标准、中国特色、高点定位。要贯彻高质量发展要求，创造“雄安质量”，在推动高质量发展方面成为全国的一个样板。要围绕打造北京非首都功能集中承载地，顺应自然、尊重规律，构建合理城市空间布局。要结合区域文化、自然景观、时代要求，形成中华风范、淀泊风光、创新风尚的城市风貌。要同步规划建设数字城市，努力打造智能新区。要坚持生态优先、绿色发展，努力建设绿色低碳新区。要按照国家部署建设一批国家级创新平台，努力打造创新驱动发展新区。要布局高效交通网络，落实职住平衡要求，形成多层次、全覆盖、人性化的基本公共服务网络。</w:t>
      </w:r>
    </w:p>
    <w:p>
      <w:pPr>
        <w:spacing w:line="360" w:lineRule="auto"/>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会议要求，要深化规划内容和完善规划体系，尽快研究提出支持雄安新区加快改革开放的措施，适时启动一批基础性重大项目建设，确保新区建设开好局、起好步。</w:t>
      </w:r>
    </w:p>
    <w:p>
      <w:pPr>
        <w:spacing w:line="360" w:lineRule="auto"/>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会议强调，建设雄安新区是千年大计、国家大事，要保持历史耐心，稳扎稳打，一茬接着一茬干，努力建设高水平的社会主义现代化城市。</w:t>
      </w:r>
    </w:p>
    <w:p>
      <w:pPr>
        <w:spacing w:line="360" w:lineRule="auto"/>
        <w:jc w:val="both"/>
        <w:rPr>
          <w:rFonts w:hint="eastAsia" w:ascii="华文楷体" w:hAnsi="华文楷体" w:eastAsia="华文楷体" w:cs="华文楷体"/>
          <w:b w:val="0"/>
          <w:bCs/>
          <w:sz w:val="24"/>
          <w:szCs w:val="24"/>
        </w:rPr>
      </w:pPr>
    </w:p>
    <w:p>
      <w:pPr>
        <w:spacing w:line="360" w:lineRule="auto"/>
        <w:ind w:firstLine="480" w:firstLineChars="200"/>
        <w:jc w:val="both"/>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会议还研究了其他事项。（新华社北京2月22日电）</w:t>
      </w:r>
    </w:p>
    <w:p>
      <w:pPr>
        <w:spacing w:line="360" w:lineRule="auto"/>
        <w:jc w:val="both"/>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r>
        <w:rPr>
          <w:rFonts w:hint="eastAsia" w:ascii="华文楷体" w:hAnsi="华文楷体" w:eastAsia="华文楷体" w:cs="华文楷体"/>
          <w:b w:val="0"/>
          <w:bCs/>
          <w:sz w:val="24"/>
          <w:szCs w:val="24"/>
        </w:rPr>
        <w:t>(责编：程宏毅、杨丽娜)</w:t>
      </w: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right"/>
        <w:rPr>
          <w:rFonts w:hint="eastAsia" w:ascii="华文楷体" w:hAnsi="华文楷体" w:eastAsia="华文楷体" w:cs="华文楷体"/>
          <w:b w:val="0"/>
          <w:bCs/>
          <w:sz w:val="24"/>
          <w:szCs w:val="24"/>
        </w:rPr>
      </w:pPr>
    </w:p>
    <w:p>
      <w:pPr>
        <w:spacing w:line="360" w:lineRule="auto"/>
        <w:jc w:val="both"/>
        <w:rPr>
          <w:rFonts w:hint="eastAsia" w:ascii="华文楷体" w:hAnsi="华文楷体" w:eastAsia="华文楷体" w:cs="华文楷体"/>
          <w:b w:val="0"/>
          <w:bCs/>
          <w:sz w:val="24"/>
          <w:szCs w:val="24"/>
        </w:rPr>
      </w:pPr>
    </w:p>
    <w:p>
      <w:pPr>
        <w:spacing w:line="360" w:lineRule="auto"/>
        <w:jc w:val="both"/>
        <w:rPr>
          <w:rFonts w:hint="eastAsia" w:ascii="华文楷体" w:hAnsi="华文楷体" w:eastAsia="华文楷体" w:cs="华文楷体"/>
          <w:b w:val="0"/>
          <w:bCs/>
          <w:sz w:val="24"/>
          <w:szCs w:val="24"/>
        </w:rPr>
      </w:pPr>
    </w:p>
    <w:p>
      <w:pPr>
        <w:spacing w:line="360" w:lineRule="auto"/>
        <w:jc w:val="center"/>
        <w:rPr>
          <w:rFonts w:hint="eastAsia" w:ascii="华文中宋" w:hAnsi="华文中宋" w:eastAsia="华文中宋" w:cs="华文中宋"/>
          <w:b/>
          <w:bCs w:val="0"/>
          <w:sz w:val="24"/>
          <w:szCs w:val="24"/>
        </w:rPr>
      </w:pPr>
      <w:bookmarkStart w:id="1" w:name="刘士余：目前还存在不少与实施注册制改革不完全适应的问题"/>
      <w:r>
        <w:rPr>
          <w:rFonts w:hint="eastAsia" w:ascii="华文中宋" w:hAnsi="华文中宋" w:eastAsia="华文中宋" w:cs="华文中宋"/>
          <w:b/>
          <w:bCs w:val="0"/>
          <w:sz w:val="24"/>
          <w:szCs w:val="24"/>
        </w:rPr>
        <w:t>刘士余：目前还存在不少与实施注册制改革不完全适应的问题</w:t>
      </w:r>
    </w:p>
    <w:bookmarkEnd w:id="1"/>
    <w:p>
      <w:pPr>
        <w:spacing w:line="360" w:lineRule="auto"/>
        <w:jc w:val="center"/>
        <w:rPr>
          <w:rFonts w:hint="eastAsia" w:ascii="华文楷体" w:hAnsi="华文楷体" w:eastAsia="华文楷体" w:cs="华文楷体"/>
          <w:b w:val="0"/>
          <w:bCs/>
          <w:sz w:val="21"/>
          <w:szCs w:val="21"/>
        </w:rPr>
      </w:pPr>
      <w:r>
        <w:rPr>
          <w:rFonts w:hint="eastAsia" w:ascii="华文楷体" w:hAnsi="华文楷体" w:eastAsia="华文楷体" w:cs="华文楷体"/>
          <w:b w:val="0"/>
          <w:bCs/>
          <w:sz w:val="21"/>
          <w:szCs w:val="21"/>
          <w:lang w:eastAsia="zh-CN"/>
        </w:rPr>
        <w:t>日期：</w:t>
      </w:r>
      <w:r>
        <w:rPr>
          <w:rFonts w:hint="eastAsia" w:ascii="华文楷体" w:hAnsi="华文楷体" w:eastAsia="华文楷体" w:cs="华文楷体"/>
          <w:b w:val="0"/>
          <w:bCs/>
          <w:sz w:val="21"/>
          <w:szCs w:val="21"/>
        </w:rPr>
        <w:t>2018</w:t>
      </w:r>
      <w:r>
        <w:rPr>
          <w:rFonts w:hint="eastAsia" w:ascii="华文楷体" w:hAnsi="华文楷体" w:eastAsia="华文楷体" w:cs="华文楷体"/>
          <w:b w:val="0"/>
          <w:bCs/>
          <w:sz w:val="21"/>
          <w:szCs w:val="21"/>
          <w:lang w:eastAsia="zh-CN"/>
        </w:rPr>
        <w:t>年</w:t>
      </w:r>
      <w:r>
        <w:rPr>
          <w:rFonts w:hint="eastAsia" w:ascii="华文楷体" w:hAnsi="华文楷体" w:eastAsia="华文楷体" w:cs="华文楷体"/>
          <w:b w:val="0"/>
          <w:bCs/>
          <w:sz w:val="21"/>
          <w:szCs w:val="21"/>
          <w:lang w:val="en-US" w:eastAsia="zh-CN"/>
        </w:rPr>
        <w:t>2月23日</w:t>
      </w:r>
      <w:r>
        <w:rPr>
          <w:rFonts w:hint="eastAsia" w:ascii="华文楷体" w:hAnsi="华文楷体" w:eastAsia="华文楷体" w:cs="华文楷体"/>
          <w:b w:val="0"/>
          <w:bCs/>
          <w:sz w:val="21"/>
          <w:szCs w:val="21"/>
        </w:rPr>
        <w:t xml:space="preserve"> 来源: 澎湃新闻(上海)</w:t>
      </w:r>
    </w:p>
    <w:p>
      <w:pPr>
        <w:spacing w:line="360" w:lineRule="auto"/>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690620" cy="2066290"/>
            <wp:effectExtent l="0" t="0" r="5080" b="1016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5"/>
                    <a:stretch>
                      <a:fillRect/>
                    </a:stretch>
                  </pic:blipFill>
                  <pic:spPr>
                    <a:xfrm>
                      <a:off x="0" y="0"/>
                      <a:ext cx="3690620" cy="2066290"/>
                    </a:xfrm>
                    <a:prstGeom prst="rect">
                      <a:avLst/>
                    </a:prstGeom>
                    <a:noFill/>
                    <a:ln w="9525">
                      <a:noFill/>
                    </a:ln>
                  </pic:spPr>
                </pic:pic>
              </a:graphicData>
            </a:graphic>
          </wp:inline>
        </w:drawing>
      </w:r>
    </w:p>
    <w:p>
      <w:pPr>
        <w:spacing w:line="360" w:lineRule="auto"/>
        <w:jc w:val="center"/>
        <w:rPr>
          <w:rFonts w:hint="eastAsia" w:ascii="华文楷体" w:hAnsi="华文楷体" w:eastAsia="华文楷体" w:cs="华文楷体"/>
          <w:sz w:val="22"/>
          <w:szCs w:val="22"/>
        </w:rPr>
      </w:pPr>
      <w:r>
        <w:rPr>
          <w:rFonts w:hint="eastAsia" w:ascii="华文楷体" w:hAnsi="华文楷体" w:eastAsia="华文楷体" w:cs="华文楷体"/>
          <w:sz w:val="22"/>
          <w:szCs w:val="22"/>
        </w:rPr>
        <w:t>证监会主席刘士余 视觉中国 资料图</w:t>
      </w:r>
    </w:p>
    <w:p>
      <w:pPr>
        <w:spacing w:line="360" w:lineRule="auto"/>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关于延长授权国务院在实施股票发行注册制改革中调整适用〈中华人民共和国证券法〉有关规定期限的决定（草案）》23日提请十二届全国人大常委会第三十三次会议审议。根据决定草案，股票发行注册制授权决定在实施期限届满后，拟延长二年至2020年2月29日。</w:t>
      </w: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受国务院委托，证监会主席刘士余在向全国人大常委会作说明时说，通过两年的努力，证监会在完善市场制度、健全市场机制、规范市场秩序、增强市场诚信、强化市场监管等方面，为稳步实施注册制改革创造了较为有利的条件和环境。</w:t>
      </w:r>
    </w:p>
    <w:p>
      <w:pPr>
        <w:spacing w:line="360" w:lineRule="auto"/>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同时，他说，目前在多层次市场体系建设、交易者成熟度等方面还存在不少与实施注册制改革不完全适应的问题，需要进一步探索完善。</w:t>
      </w: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2015年12月27日，全国人大常委会通过《关于授权国务院在实施股票发行注册制改革中调整适用&lt;中华人民共和国证券法&gt;有关规定的决定》，该授权决定将于2018年2月28日到期。</w:t>
      </w: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刘士余说，为了使继续稳步推进和适时实施注册制改革于法有据，保持工作的连续性，避免市场产生疑虑和误读，并为修订证券法进一步积累实践经验，建议授权决定实施期限延长二年至2020年2月29日。</w:t>
      </w: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刘士余表示，下一步，证监会将在总结实践经验的基础上，继续积极创造条件稳步推进注册制改革，条件成熟时适时向国务院提出具体实施方案建议，并会同有关部门加强事前事中事后全过程监管，防范和化解风险，切实保护投资者合法权益。</w:t>
      </w: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r>
        <w:rPr>
          <w:rFonts w:hint="eastAsia" w:ascii="华文楷体" w:hAnsi="华文楷体" w:eastAsia="华文楷体" w:cs="华文楷体"/>
          <w:sz w:val="24"/>
          <w:szCs w:val="24"/>
        </w:rPr>
        <w:t>（原标题《股票发行注册制授权决定期限拟延长至2020年》）</w:t>
      </w: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p>
    <w:p>
      <w:pPr>
        <w:spacing w:line="360" w:lineRule="auto"/>
        <w:ind w:firstLine="480" w:firstLineChars="200"/>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jc w:val="left"/>
        <w:rPr>
          <w:rFonts w:hint="eastAsia" w:ascii="华文楷体" w:hAnsi="华文楷体" w:eastAsia="华文楷体" w:cs="华文楷体"/>
          <w:sz w:val="24"/>
          <w:szCs w:val="24"/>
        </w:rPr>
      </w:pPr>
    </w:p>
    <w:p>
      <w:pPr>
        <w:spacing w:line="360" w:lineRule="auto"/>
        <w:ind w:firstLine="480" w:firstLineChars="200"/>
        <w:jc w:val="center"/>
        <w:rPr>
          <w:rFonts w:hint="eastAsia" w:ascii="华文中宋" w:hAnsi="华文中宋" w:eastAsia="华文中宋" w:cs="华文中宋"/>
          <w:b/>
          <w:bCs/>
          <w:sz w:val="24"/>
          <w:szCs w:val="24"/>
        </w:rPr>
      </w:pPr>
      <w:bookmarkStart w:id="2" w:name="中国保险监督管理委员会关于修改《中华人民共和国外资保险公司管理条例实施细则》等四"/>
      <w:r>
        <w:rPr>
          <w:rFonts w:hint="eastAsia" w:ascii="华文中宋" w:hAnsi="华文中宋" w:eastAsia="华文中宋" w:cs="华文中宋"/>
          <w:b/>
          <w:bCs/>
          <w:sz w:val="24"/>
          <w:szCs w:val="24"/>
        </w:rPr>
        <w:t>中国保险监督管理委员会关于修改《中华人民共和国外资保险公司管理条例实施细则》等四部规章的决定</w:t>
      </w:r>
    </w:p>
    <w:bookmarkEnd w:id="2"/>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eastAsia="zh-CN"/>
        </w:rPr>
        <w:t>日期：</w:t>
      </w:r>
      <w:r>
        <w:rPr>
          <w:rFonts w:hint="eastAsia" w:ascii="华文楷体" w:hAnsi="华文楷体" w:eastAsia="华文楷体" w:cs="华文楷体"/>
          <w:b w:val="0"/>
          <w:bCs w:val="0"/>
          <w:sz w:val="21"/>
          <w:szCs w:val="21"/>
          <w:lang w:val="en-US" w:eastAsia="zh-CN"/>
        </w:rPr>
        <w:t>2018年2月23日 来源：中国保监会</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保监会令2018年第4号</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现公布《中国保险监督管理委员会关于修改〈中华人民共和国外资保险公司管理条例实施细则〉等四部规章的决定》，自公布之日起施行。 </w:t>
      </w:r>
    </w:p>
    <w:p>
      <w:pPr>
        <w:spacing w:line="360" w:lineRule="auto"/>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副主席  陈文辉                                                                                  2018年2月13日       </w:t>
      </w: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中国保险监督管理委员会关于修改</w:t>
      </w:r>
    </w:p>
    <w:p>
      <w:pPr>
        <w:spacing w:line="360" w:lineRule="auto"/>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《中华人民共和国外资保险公司管理条例实</w:t>
      </w:r>
    </w:p>
    <w:p>
      <w:pPr>
        <w:spacing w:line="360" w:lineRule="auto"/>
        <w:jc w:val="center"/>
        <w:rPr>
          <w:rFonts w:hint="eastAsia" w:ascii="华文中宋" w:hAnsi="华文中宋" w:eastAsia="华文中宋" w:cs="华文中宋"/>
          <w:b/>
          <w:bCs/>
          <w:sz w:val="24"/>
          <w:szCs w:val="24"/>
          <w:lang w:val="en-US" w:eastAsia="zh-CN"/>
        </w:rPr>
      </w:pPr>
      <w:r>
        <w:rPr>
          <w:rFonts w:hint="eastAsia" w:ascii="华文中宋" w:hAnsi="华文中宋" w:eastAsia="华文中宋" w:cs="华文中宋"/>
          <w:b/>
          <w:bCs/>
          <w:sz w:val="24"/>
          <w:szCs w:val="24"/>
          <w:lang w:val="en-US" w:eastAsia="zh-CN"/>
        </w:rPr>
        <w:t>施细则》等四部规章的决定</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为贯彻落实国务院关于清理规范行政审批中介服务事项的要求，中国保险监督管理委员会决定对《中华人民共和国外资保险公司管理条例实施细则》等四部规章的部分条款予以修改。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一、将《中华人民共和国外资保险公司管理条例实施细则》第二十六条修改为:“《条例》和本细则要求申请设立外资保险公司的外国保险公司提供的下列文件或者资料，应当真实有效：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“（一）营业执照（副本）或者营业执照的有效复印件；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“（二）对拟任外国保险公司分公司主要负责人的授权书；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“（三）外国保险公司对其中国境内分公司承担税务、债务的责任担保书。”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二、将《外国保险机构驻华代表机构管理办法》第六条第二款修改为：“申请者提交的材料应当真实有效。”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三、删去《保险公司次级定期债务管理办法》第十二条。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第十四条改为第十三条，删去第一款第六项、第七项。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四、将《保险公司董事、监事和高级管理人员任职资格管理规定》第五十条修改为：“保险机构依照本规定报送的任职资格审查材料和其他文件资料，应当用中文书写。原件是外文的，应当附中文译本。”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本决定自公布之日起施行。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中华人民共和国外资保险公司管理条例实施细则》《外国保险机构驻华代表机构管理办法》《保险公司次级定期债务管理办法》《保险公司董事、监事和高级管理人员任职资格管理规定》根据本决定作相应修改，重新公布。 </w:t>
      </w:r>
    </w:p>
    <w:p>
      <w:pPr>
        <w:spacing w:line="360" w:lineRule="auto"/>
        <w:jc w:val="center"/>
        <w:rPr>
          <w:rFonts w:hint="eastAsia" w:ascii="华文中宋" w:hAnsi="华文中宋" w:eastAsia="华文中宋" w:cs="华文中宋"/>
          <w:b/>
          <w:bCs/>
          <w:sz w:val="24"/>
          <w:szCs w:val="24"/>
          <w:lang w:val="en-US" w:eastAsia="zh-CN"/>
        </w:rPr>
      </w:pPr>
      <w:bookmarkStart w:id="3" w:name="中国保监会关于印发《反保险欺诈指引》的通知"/>
      <w:r>
        <w:rPr>
          <w:rFonts w:hint="eastAsia" w:ascii="华文中宋" w:hAnsi="华文中宋" w:eastAsia="华文中宋" w:cs="华文中宋"/>
          <w:b/>
          <w:bCs/>
          <w:sz w:val="24"/>
          <w:szCs w:val="24"/>
          <w:lang w:val="en-US" w:eastAsia="zh-CN"/>
        </w:rPr>
        <w:t>中国保监会关于印发《反保险欺诈指引》的通知</w:t>
      </w:r>
    </w:p>
    <w:bookmarkEnd w:id="3"/>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eastAsia="zh-CN"/>
        </w:rPr>
        <w:t>日期：</w:t>
      </w:r>
      <w:r>
        <w:rPr>
          <w:rFonts w:hint="eastAsia" w:ascii="华文楷体" w:hAnsi="华文楷体" w:eastAsia="华文楷体" w:cs="华文楷体"/>
          <w:b w:val="0"/>
          <w:bCs w:val="0"/>
          <w:sz w:val="21"/>
          <w:szCs w:val="21"/>
          <w:lang w:val="en-US" w:eastAsia="zh-CN"/>
        </w:rPr>
        <w:t>2018年2月23日 来源：中国保监会</w:t>
      </w:r>
    </w:p>
    <w:p>
      <w:pPr>
        <w:spacing w:line="360" w:lineRule="auto"/>
        <w:ind w:firstLine="420" w:firstLineChars="200"/>
        <w:jc w:val="center"/>
        <w:rPr>
          <w:rFonts w:hint="eastAsia" w:ascii="华文楷体" w:hAnsi="华文楷体" w:eastAsia="华文楷体" w:cs="华文楷体"/>
          <w:b w:val="0"/>
          <w:bCs w:val="0"/>
          <w:sz w:val="21"/>
          <w:szCs w:val="21"/>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保监发〔2018〕24号</w:t>
      </w:r>
    </w:p>
    <w:p>
      <w:pPr>
        <w:spacing w:line="360" w:lineRule="auto"/>
        <w:jc w:val="center"/>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各保监局，中国保险信息技术管理有限责任公司，中国保险行业协会、中国保险学会，各保险集团（控股）公司、保险公司、保险专业中介机构：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为保护保险消费者合法权益，切实防范化解保险欺诈风险，促进保险业健康可持续发展及社会诚信体系的构建，中国保监会制定了《反保险欺诈指引》，现印发给你们，请结合实际认真贯彻执行。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中国保监会 </w:t>
      </w:r>
    </w:p>
    <w:p>
      <w:pPr>
        <w:spacing w:line="360" w:lineRule="auto"/>
        <w:jc w:val="righ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2018年2月11日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（附注：请各保监局代转给辖区内的保险专业中介机构）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bCs/>
          <w:sz w:val="24"/>
          <w:szCs w:val="24"/>
          <w:lang w:val="en-US" w:eastAsia="zh-CN"/>
        </w:rPr>
      </w:pPr>
      <w:r>
        <w:rPr>
          <w:rFonts w:hint="eastAsia" w:ascii="华文楷体" w:hAnsi="华文楷体" w:eastAsia="华文楷体" w:cs="华文楷体"/>
          <w:b/>
          <w:bCs/>
          <w:sz w:val="24"/>
          <w:szCs w:val="24"/>
          <w:lang w:val="en-US" w:eastAsia="zh-CN"/>
        </w:rPr>
        <w:t>反保险欺诈指引</w:t>
      </w:r>
    </w:p>
    <w:p>
      <w:pPr>
        <w:spacing w:line="360" w:lineRule="auto"/>
        <w:jc w:val="center"/>
        <w:rPr>
          <w:rFonts w:hint="eastAsia" w:ascii="华文楷体" w:hAnsi="华文楷体" w:eastAsia="华文楷体" w:cs="华文楷体"/>
          <w:b/>
          <w:bCs/>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第一章 总 则</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第一条 为提升保险业全面风险管理能力，防范和化解保险欺诈风险，根据《中华人民共和国保险法》、《中华人民共和国刑法》等法律法规，制定本指引。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第二条 本指引所称保险机构,是指经中国保险监督管理委员会（以下简称保监会）及其派出机构（以下简称派出机构）批准设立的保险集团（控股）公司、保险公司及其分支机构。保险专业中介机构、再保险公司和其他具有反保险欺诈职能的机构参照本指引开展反欺诈相关工作。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第三条 保险欺诈（以下简称欺诈）是指假借保险名义或利用保险合同谋取非法利益的行为，主要包括保险金诈骗类欺诈行为、非法经营保险业务类欺诈行为和保险合同诈骗类欺诈行为等。除特别说明，本指引所称欺诈仅指保险金诈骗类欺诈行为，主要包括故意虚构保险标的，骗取保险金；编造未曾发生的保险事故、编造虚假的事故原因或者夸大损失程度，骗取保险金；故意造成保险事故，骗取保险金的行为等。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本指引所称保险欺诈风险（以下简称欺诈风险）是指欺诈实施者进行欺诈活动，给保险行业、保险消费者及社会公众造成经济损失或其他损失的风险。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第四条 反欺诈工作以保护保险消费者合法权益，维护保险市场秩序，促进保险行业健康发展为目标。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第五条 保监会及其派出机构依法对保险机构的欺诈风险管理工作实施监管。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第二章 保险机构欺诈风险管理</w:t>
      </w:r>
    </w:p>
    <w:p>
      <w:pPr>
        <w:spacing w:line="360" w:lineRule="auto"/>
        <w:jc w:val="center"/>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第六条 保险机构应当承担欺诈风险管理的主体责任，建立健全欺诈风险管理制度和机制，规范操作流程，妥善处置欺诈风险，履行报告义务。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第七条 保险机构欺诈风险管理体系应包括以下基本要素：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（一）董事会、监事会、管理层的有效监督和管理；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（二）与业务性质、规模和风险特征相适应的制度机制；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（三）欺诈风险管理组织架构和流程设置；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（四）职责、权限划分和考核问责机制；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（五）欺诈风险识别、计量、评估、监测和处置程序；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（六）内部控制和监督机制；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（七）欺诈风险管理信息系统；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（八）报告和危机处理机制。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第一节 制度体系与组织架构</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第八条 保险机构应制定欺诈风险管理制度，以明确董事会及其专门委员会、监事会（监事）、管理层、相关部门在欺诈风险管理中的作用、职责及报告路径，规范操作流程，严格考核、问责制度执行。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第九条 保险机构董事会承担欺诈风险管理的最终责任，董事会主要职责包括：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（一）确定欺诈风险管理战略规划和总体政策；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（二）审定欺诈风险管理的基本制度；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（三）监督欺诈风险管理制度执行有效性；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（四）审议管理层或风险管理委员会提交的欺诈风险管理报告；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（五）根据内部审计结果调整和完善欺诈风险管理政策，监督管理层整改；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（六）审议涉及欺诈风险管理的其他重大事项；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（七）法律、法规规定的其他职责。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董事会根据公司章程和董事会议事规则，可以授权其下设的风险管理委员会履行其欺诈风险管理的部分职责。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第十条 保险机构管理层承担欺诈风险管理的实施责任，主要职责包括：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（一）制定欺诈风险管理制度，报董事会批准后执行；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（二）建立欺诈风险管理组织架构，明确职能部门、业务部门以及其他部门的职责分工和权限,确定欺诈风险报告路径；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（三）对重大欺诈风险事件或项目，根据董事会授权进行处置,必要时提交董事会审议；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（四）定期评估欺诈风险管理的总体状况并向董事会提交报告;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（五）建立和实施欺诈风险管理考核和问责机制;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（六）法律、法规规定的或董事会授予的其他职责。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第十一条 监事会（监事）应对董事会及管理层在欺诈风险管理中的履职情况进行监督评价。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第十二条 保险机构应当指定欺诈风险管理负责人（以下简称负责人），并以书面形式告知保监会。负责人应由能够承担欺诈风险管理责任的高级管理人员担任，职责包括：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（一）分解欺诈风险管理责任，明晰风险责任链条；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（二）组织落实风险管理措施与内控建设措施；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（三）监督欺诈风险管理制度和程序的实施；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（四）为保险机构欺诈风险管理战略、规划、政策和程序提出建议；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（五）审核反欺诈职能部门出具的欺诈风险年度报告等文件；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（六）向保监会报告，接受监管质询等。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保险机构应当为负责人履行职责提供必要的条件。负责人未能履行职责或者在履行职责过程中遇到困难的，应当向保监会提供书面说明。负责人因岗位或者工作变动不能继续履行职责的，保险机构应在10个工作日内另行指定负责人并向保监会报告变更。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第十三条 保险机构应在总部指定内设机构作为反欺诈职能部门，并设立专职的反欺诈管理岗位，负责欺诈风险管理措施的执行。反欺诈职能部门应当履行下列职责：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（一）拟定欺诈风险管理的具体政策、操作规程和操作标准，报董事会或管理层批准后执行；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（二）建立并组织实施欺诈风险识别、计量、评估、监测和报告流程；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（三）建立并管理反欺诈信息系统；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（四）组织开展反欺诈调查和风险排查；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（五）协调其他部门执行反欺诈操作规程；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（六）监测和分析欺诈风险管理情况，定期向公司管理层、董事会和保监会提交欺诈风险报告；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（七）提供反欺诈培训，开展反欺诈经验交流，建设欺诈风险管理文化，进行反欺诈宣传和教育；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（八）与欺诈风险管理相关的其他工作。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第十四条 保险机构应保障欺诈风险管理工作的有效开展，并配备适当的资源，包括但不限于提供必要的经费、设置必要的岗位、配备适当的人员、提供培训、赋予欺诈风险管理人员履行职务所必需的权限等。保险机构的其他部门应在职责范围内为反欺诈职能部门提供支持。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第十五条 保险省级机构应指定内设机构作为反欺诈职能部门，负责本地区欺诈风险管理措施的执行，并按照赔案数量、保费规模、风险特征、机构数量等指标配备一定比例的专职工作人员。保险省级机构应以书面形式将反欺诈组织架构和负责人告知所在地派出机构。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第十六条 保险机构应建立重大欺诈风险监测预警、报告、应急处置工作机制，明确不同层级的应急响应措施。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第十七条 保险机构应在综合考虑业务发展、技术更新及市场变化等因素的基础上对欺诈风险管理策略、制度和程序及时进行评估，并根据评估结果判断相关策略、制度和程序是否需要更新和修订。评估工作每年最少进行一次。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第二节 内部控制与信息系统</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第十八条 保险机构应基于全面风险管理框架构建反欺诈管理体系，合理确定各项业务活动和管理活动的欺诈风险控制点，明确欺诈风险管理相关事项的审核部门和审批权限，执行标准统一的业务流程和管理流程，将欺诈风险管控覆盖到机构设立、产品开发、承保和核保、理赔管理、资金收付、单证管理、人员管理、中介及第三方外包服务等关键业务单元。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第十九条 保险机构在开发新产品、引入新技术手段、设立新机构和新业务部门前，应在可行性研究中充分评估其对欺诈风险产生的影响，制定相应欺诈风险管理措施，并根据需要及时进行调整。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第二十条 保险机构应将员工道德风险可能引发的职务欺诈作为欺诈风险管理的重要部分，营造诚信的企业文化,健全人员选任和在岗履职检查机制,明确岗位责任,设置内部控制和监督措施等。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第二十一条 保险机构应审慎选择中介业务合作对象或与保险业务相关的第三方外包服务商，重点关注对方的资质、财务状况、内部反欺诈制度和流程等。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第二十二条 保险机构应将欺诈风险管理纳入内部审计范围。内审部门应定期审查和评价欺诈风险管理体系的充分性和有效性，并向董事会报告评估结果。内部审计应涵盖欺诈风险管理的所有环节，包括但不限于以下内容：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（一）管理体系、内部控制制度和实施程序是否足以识别、计量、监测和控制欺诈风险；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（二）欺诈风险管理的信息系统是否完善；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（三）欺诈风险管理报告是否准确、及时、有效；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（四）相关机构、部门和人员是否严格执行既定的欺诈风险管理政策和程序。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审计工作每年应至少进行一次。鼓励业务复杂程度较高和规模较大的保险机构委托专业机构对其欺诈风险管理体系定期进行审计和评价。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第二十三条 保险机构应当为有效地识别、计量、评估、监测、控制和报告欺诈风险建立信息系统或将现有信息系统嵌入相关功能，其功能至少应当包括：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（一）记录和处理与欺诈风险相关的数据；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（二）识别并报告疑似欺诈客户及交易；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（三）支持不同业务领域、业务类型欺诈风险的计量；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（四）采用定量标准和定性标准评估欺诈风险并进行风险评级，监测欺诈风险管理执行情况；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（五）为行业反欺诈共享平台和保险业征信系统提供有效数据和信息支持；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（六）提供欺诈风险信息，满足内部管理、监管报告、信息披露和共享要求。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第二十四条 保险机构应对欺诈案件信息或疑似欺诈信息实行严格管理，保证数据安全性和完备性。反欺诈职能部门应制定欺诈或疑似欺诈信息的标准、信息类型，根据数据类型进行分级保存和管理，并准确传递给核保、核赔、审计等部门。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第二十五条 保险机构应依据保险业标准化和保险业务要素数据规范等规定的要求，建立基础数据质量管理和数据报送责任机制，确保欺诈风险管理相关数据的真实、完整、准确、规范。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第三节 欺诈风险识别、评估与应对</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第二十六条 保险机构应建立欺诈风险识别机制，对关键业务单元面临的欺诈风险进行收集、发现、辨识和描述，形成风险清单。欺诈风险识别流程包括：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（一）监测关键的欺诈风险指标，收集风险信息；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（二）通过欺诈因子筛选、要素分析、风险调查等方法，发现风险因素；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（三）对识别出的风险因素按照损失事件、业务类别、风险成因、损失形态和后果严重程度等进行合理归类，形成风险清单，为风险分析提供依据。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第二十七条 保险机构应在风险识别的基础上，对欺诈风险发生的可能性和危害程度进行评估。欺诈风险评估基本流程包括：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（一）对识别出的欺诈风险的发生概率、频率、损失程度等因素进行综合分析；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（二）对应欺诈风险威胁，对公司制度、流程、内部控制中存在的薄弱点进行分析与评价；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（三）对公司已采取的风险控制措施进行分析与评价；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（四）依据欺诈风险计量的方法及风险等级评价原则，结合行业标准，确定风险的大小与等级；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（五）确定公司承受风险的能力；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（六）对公司欺诈管理投入的资源、经济效益做出总体评估，决定是否需要采取控制、缓释等相应措施。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第二十八条 保险机构应针对欺诈风险事件，综合考虑欺诈风险性质和危害程度、经营目标、风险承受能力和风险管理能力、法律法规规定及对保险行业的影响，选择合适的风险处置策略和工具，控制事件发展态势、弥补资产损失，妥善化解风险。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第二十九条 保险机构发现风险线索可能涉及多个案件或团伙欺诈的，应对线索进行串并，必要时应提请上级机构或总公司在全系统范围内进行审核与串并。涉及其他机构或其他地区的，应报请各地保险行业协会或反欺诈中心、中国保险行业协会对风险线索进行审核与串并。针对发现的趋势性、苗头性问题，各保险机构应积极组织开展风险排查，做好风险预警。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第三十条 各保险机构发现违法事实涉嫌犯罪需要依法追究刑事责任的，应及时向公安机关报案。保监会及其派出机构发现违法事实涉嫌犯罪需要依法追究刑事责任的，应依据案件线索移送的相关规定，及时向公安司法机关移送。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第三十一条 保险机构应当建立欺诈风险管理报告制度，明确报告的内容、频率、路径。保险机构应及时报送欺诈风险信息和报告,包括: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（一）欺诈案件和重大欺诈风险事件报告。对于已经由公安、司法机关接受处理的欺诈案件或危害特别大、影响范围特别广的欺诈事件，应根据保险案件相关的监管规定向保监会及其派出机构进行报告。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（二）欺诈线索报告。保险机构通过风险识别发现欺诈风险和线索，可能引发保险欺诈案件的，应依据相关规定及时向上级机构或保监会及其派出机构进行报告。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欺诈风险定期报告。保险机构应定期分析、评估本机构的欺诈风险情况、风险管理状况及工作效果。保险法人机构应当于每年1月31日前向保监会报送上一年度欺诈风险报告。报告内容应包括但不限于以下内容：公司反欺诈风险管理设置和董事会、经营管理层履职情况；公司反欺诈制度、流程建设情况；反欺诈自主评估和审计结果；重大欺诈风险处置结果；其他相关情况等。保险分支机构按照派出机构的要求报送欺诈风险定期报告。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（四）涉及重大突发事件的，保险机构应当根据重大突发事件应急管理相关规定进行报告。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第三十二条 保险机构应定期分析欺诈风险趋势、欺诈手法、异动指标等，指标分析应包括：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（一）总体情况指标。反映在公司制度、流程、内部控制等方面欺诈风险应对能力的总体情况指标，包括欺诈案件占比、欺诈金额占比、欺诈案件的追诉率、反欺诈挽损比率等，用以衡量公司欺诈整体状况。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（二）分布特征指标。主要包括行为分布特征、险种分布特征、人员分布特征、地区分布特征、金额分布特征等，用以更好地制定欺诈风险的防范和识别措施，提升欺诈风险管理的经济效果。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（三）趋势性指标。将不同时期同类指标的历史数据进行比较，从而综合、直观地呈现欺诈风险的变化趋势和变化规律。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统计分析至少应每季度进行一次。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第三十三条 保险机构在依法合规前提下，可适当借助公估公司等机构力量开展反欺诈工作。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第四节 考核、宣传教育及举报</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第三十四条 保险机构应针对欺诈风险管理建立明确的内部评价考核机制。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第三十五条 保险机构应当通过开展案例通报和警示宣传、发布风险提示等方式，提高保险消费者对欺诈的认识，增强保险消费者防范欺诈的意识和能力。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第三十六条 保险机构反欺诈职能部门应定期向公司管理人员和员工提供反欺诈培训，培训内容应包括公司内部反欺诈制度、操作流程、职业操守等，针对承担反欺诈职能的员工还应进行欺诈监测方法、欺诈手法、关键指标、内部报告等培训。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第三十七条 保险机构应当建立欺诈举报制度，向社会公众公布欺诈举报渠道、方式等,并采取保密措施保证举报信息不被泄露。 </w:t>
      </w:r>
    </w:p>
    <w:p>
      <w:pPr>
        <w:spacing w:line="360" w:lineRule="auto"/>
        <w:jc w:val="center"/>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第三章 反欺诈监督管理与行业协作</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第三十八条 保监会及其派出机构应当在行业反欺诈工作中承担以下职责：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（一）建立反欺诈监管框架，制定反欺诈监管制度；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（二）指导保险机构和行业组织防范和应对欺诈风险；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（三）审查和评估保险机构反欺诈工作；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（四）依据保险公司偿付能力监管规则中的风险综合评级规则，对保险机构欺诈风险进行评价和监管；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（五）通报欺诈案件、发布风险信息，定期对行业整体欺诈风险状况进行评估；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（六）推动建立行业合作平台，促进反欺诈协作；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（七）加强与其他行业主管部门、司法机关的合作、协调和信息交流；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（八）普及反欺诈知识，提高消费者对欺诈的认识。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第三十九条 保监会及其派出机构应定期对保险机构欺诈风险管理体系的健全性和有效性进行检查和评估，包括但不限于：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（一）对反欺诈监管规定的执行情况；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（二）内部欺诈风险管理制度的制定情况；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（三）欺诈风险管理组织架构的建立和人员履职情况；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（四）欺诈风险管理流程的完备性、可操作性和运行情况；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（五）反欺诈系统的建设和运行情况；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（六）欺诈风险报告情况；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（七）风险应对和处置情况。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保监会及其派出机构通过监管评级、风险提示、通报、约谈等方式对保险机构欺诈风险管理进行持续监管。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第四十条 保监会及其派出机构应致力于完善反欺诈协作配合机制，包括但不限于：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（一）健全与公安部门和司法机关的案件移交、联合执法机制，深化案件联合督办机制；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（二）将欺诈行政处罚、刑事处罚记录纳入企业个人信用记录和诚信档案，实行失信联合惩戒，提高打击欺诈行为的震慑力；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（三）完善与公安、司法、人民银行、工商等部门的案件信息和执法信息通报制度，加强信息共享和交流互训；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（四）会同有关部委推动反欺诈立法，协同司法机关完善惩治欺诈犯罪的司法解释，明确欺诈的认定标准和处理规范；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（五）探索建立与其他行业主管部门共同打击欺诈案件的联动机制；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（六）构建与港、澳、台地区的反欺诈合作机制，在信息查询通报、组织委托调查、调查程序与文书认证标准、开展技术交流等领域进行协作，并建立反欺诈工作的日常联络机制；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（七）推动国际合作。建立健全国际交流与合作的框架体系，指导行业组织加强与国际反欺诈组织的沟通联络，在跨境委托调查、提供司法协助、交流互访等方面开展反欺诈合作，形成打击跨境欺诈的工作机制。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第四十一条 保监会及其派出机构应指导保险机构、保险行业协会和保险学会深入开展行业合作，构建数据共享和欺诈风险信息互通机制，联合开展打击欺诈的行业行动，深化理论研究和学术交流，强化风险处置协作，协同推进反欺诈工作。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第四十二条 保险行业协会应在保监会及其派出机构的指导下，发挥行业自律作用，开展以下工作：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（一）建立反欺诈联席会议制度；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（二）建立欺诈风险警戒线标准和欺诈风险关键指标；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（三）组织欺诈案件协查和风险排查；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（四）通报欺诈案件、发布风险信息；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（五）推动行业数据及信息共享，组织建立反欺诈警示名单及不良记录清单等；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（六）加强与国际反保险欺诈组织的沟通联络； </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（七）开展反欺诈培训、专题教育和公益宣传活动等。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第四十三条 派出机构应在保监会的领导下，指导辖区行业协会、保险分支机构根据实际情况健全反欺诈组织，如设立或与公安机关共同成立反欺诈中心、反保险欺诈办公室等，完善案件调查、移交立案、证据调取等机制。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第四十四条 中国保险信息技术有限公司应在保监会的指导下，探索建立多险种的反欺诈信息管理平台，充分发挥大数据平台集中管理优势，为保险行业欺诈风险的分析和预警监测提供支持。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jc w:val="center"/>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第四章 附 则</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第四十五条 本指引的配套应用指引另行制定。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第四十六条 本指引由保监会负责解释、修订。 </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 xml:space="preserve">第四十七条 本指引自2018年4月1日起施行。 </w:t>
      </w: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both"/>
        <w:rPr>
          <w:rFonts w:hint="eastAsia" w:ascii="华文中宋" w:hAnsi="华文中宋" w:eastAsia="华文中宋" w:cs="华文中宋"/>
          <w:b/>
          <w:bCs/>
          <w:sz w:val="24"/>
          <w:szCs w:val="24"/>
          <w:lang w:val="en-US" w:eastAsia="zh-CN"/>
        </w:rPr>
      </w:pPr>
    </w:p>
    <w:p>
      <w:pPr>
        <w:spacing w:line="360" w:lineRule="auto"/>
        <w:jc w:val="center"/>
        <w:rPr>
          <w:rFonts w:hint="eastAsia" w:ascii="华文中宋" w:hAnsi="华文中宋" w:eastAsia="华文中宋" w:cs="华文中宋"/>
          <w:b/>
          <w:bCs/>
          <w:sz w:val="24"/>
          <w:szCs w:val="24"/>
          <w:lang w:val="en-US" w:eastAsia="zh-CN"/>
        </w:rPr>
      </w:pPr>
      <w:bookmarkStart w:id="4" w:name="保监会陈文辉：重塑保险监管真正让监管长上牙齿"/>
      <w:r>
        <w:rPr>
          <w:rFonts w:hint="eastAsia" w:ascii="华文中宋" w:hAnsi="华文中宋" w:eastAsia="华文中宋" w:cs="华文中宋"/>
          <w:b/>
          <w:bCs/>
          <w:sz w:val="24"/>
          <w:szCs w:val="24"/>
          <w:lang w:val="en-US" w:eastAsia="zh-CN"/>
        </w:rPr>
        <w:t>保监会陈文辉：重塑保险监管 真正让监管长上牙齿</w:t>
      </w:r>
    </w:p>
    <w:bookmarkEnd w:id="4"/>
    <w:p>
      <w:pPr>
        <w:spacing w:line="360" w:lineRule="auto"/>
        <w:jc w:val="center"/>
        <w:rPr>
          <w:rFonts w:hint="eastAsia" w:ascii="华文楷体" w:hAnsi="华文楷体" w:eastAsia="华文楷体" w:cs="华文楷体"/>
          <w:b w:val="0"/>
          <w:bCs w:val="0"/>
          <w:sz w:val="21"/>
          <w:szCs w:val="21"/>
          <w:lang w:val="en-US" w:eastAsia="zh-CN"/>
        </w:rPr>
      </w:pPr>
      <w:r>
        <w:rPr>
          <w:rFonts w:hint="eastAsia" w:ascii="华文楷体" w:hAnsi="华文楷体" w:eastAsia="华文楷体" w:cs="华文楷体"/>
          <w:b w:val="0"/>
          <w:bCs w:val="0"/>
          <w:sz w:val="21"/>
          <w:szCs w:val="21"/>
          <w:lang w:val="en-US" w:eastAsia="zh-CN"/>
        </w:rPr>
        <w:t>日期：2018年2月22日　来源: 人民日报(北京)</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2015年以来，保险业发生了一些风险事件，在行业内和社会上引起广泛关注。十九大报告提出，健全金融监管体系，守住不发生系统性金融风险的底线。中央经济工作会议对金融防风险、服务实体经济也提出了明确要求。保险业如何重塑监管，更好地服务国计民生？本报记者采访了保监会副主席陈文辉。</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记者：在防范化解风险方面，保险业接下来有哪些思路和举措？</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防止发生系统性金融风险是金融工作的永恒主题。保险业是一个分散风险、管理风险的行业，筑牢行业风险防线，是行业自身健康发展的需要，也事关金融业乃至经济社会发展全局。我们将以习近平新时代中国特色社会主义思想为指引，认真贯彻党的十九大和全国金融工作会议精神，把防范化解风险放在更加重要的位置。接下来防风险的整体思路是稳中求进，打防结合，使出“组合拳”。</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对突出风险点要及时排查、处置，推动问题公司通过“瘦身”和转型化解风险；对流动性风险要加强防控，针对风险隐患较大的公司，及时采取有针对性处置措施；对违法违规和激进投资等各种市场乱象，要加强股权穿透管理，将单一股东最高股权比例从51%下调至1/3，解决大股东或实际控制人“一言堂”的问题，同时探索建立职业经理人执业“黑名单”制度；对销售误导、理赔难、违规套取费用等积弊顽症，要加强日常防范，构建多层次防控格局。</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2017年被业内称为“最严监管年”，仅上半年就对306家保险机构和447人实施行政处罚，罚款6369万元，后续处理处罚工作正在进行中。</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记者：您提出当前保险监管系统的一项重要任务是重塑监管，请问具体将从哪些方面着手？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陈文辉：近几年保险业的一些风险事件，与监管存在短板有直接关系。补齐监管短板，健全保险监管体系，要在四方面着力：</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一是全面加强党的建设，落实全面从严治党。以党的政治建设为统领，强化保监会系统党的建设，推进“两学一做”学习教育常态化制度化。</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二是彻底肃清项俊波流毒，重构风清气正的政治生态。强化保监会系统党风廉政建设，健全完善监管权力制约和监督机制，营造风清气正的良好政治生态。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三是重塑保险监管，做到敢于监管、严于监管、精于监管。坚持以人民为中心，摒弃本位主义，真正让监管长上牙齿——有风险没有及时发现就是失职、发现风险没有及时提示和处置就是渎职。加快建设偿二代二期工程，提升监管信息化水平。严格落实监管问责办法，强化问责力度。</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四是加强监管协调，形成监管合力。加强与其他监管机构和执法部门的协调合作，提升监管穿透力，服务金融中心工作。</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记者：党的十九大报告提出，“深化金融体制改革，增强金融服务实体经济能力”，“提高保障和改善民生水平，加强和创新社会治理”。保险业如何贯彻落实这些要求，具体有哪些抓手？</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为实体经济服务是金融的天职，也是防范金融风险的根本举措。总的来看，保险业在服务经济社会发展方面发挥了积极作用，但还有不少差距。目前行业已经构建了“公益+交易所+保险”的精准扶贫模式，农业保险为1.8亿户次农户提供风险保障金额1.6万亿元，大病保险覆盖城乡居民10.1亿人。保险资金通过投资债券和股票为实体经济直接融资超过7万亿元，以债权、股权计划形式支持“一带一路”建设投资规模达7720亿元。下一步，保监会将坚持“保险业姓保”，推动行业发挥长期稳健风险管理和保障功能，更好服务实体经济发展：</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——以服务国家重大战略为抓手，支持保险资金参与“一带一路”、京津冀协同发展、雄安新区建设，更好服务创新驱动发展战略和《中国制造2025》；推进农业保险“扩面提标增品”，服务国家脱贫攻坚战略。</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——以服务供给侧结构性改革为抓手，加快完善覆盖科技创新、装备应用、融资增信、产品责任、外贸出口等全方位的保险服务体系。</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——以服务民生保障为抓手，完善广覆盖的大病保险制度，发展多元化的商业健康、养老保险，积极拓展普惠保险，增强人民群众的获得感、幸福感和安全感。</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——以服务社会治理为抓手，发展巨灾保险，加快发展与公众利益关系密切的环境、食品、医疗、校园等领域的责任保险，提升社会治理的社会化和专业化水平。</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记者：党的十九大报告提出：“必须坚定不移贯彻创新、协调、绿色、开放、共享的发展理念”，“推动形成全面开放新格局”。下一步保险业将怎样贯彻新发展理念？如何加快“引进来”“走出去”的步伐？</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陈文辉：当前保险业仍然存在发展不持续、不协调的问题。我们将有效践行五大发展理念，深化生产要素改革，推动互联网、大数据、人工智能、基因检测等科技创新与保险经营深度融合，推动保险市场、业务、区域协调发展，让保险产品更多、服务更优，更好地满足人民日益增长的美好生活需要。</w:t>
      </w: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left"/>
        <w:rPr>
          <w:rFonts w:hint="eastAsia" w:ascii="华文楷体" w:hAnsi="华文楷体" w:eastAsia="华文楷体" w:cs="华文楷体"/>
          <w:b w:val="0"/>
          <w:bCs w:val="0"/>
          <w:sz w:val="24"/>
          <w:szCs w:val="24"/>
          <w:lang w:val="en-US" w:eastAsia="zh-CN"/>
        </w:rPr>
      </w:pPr>
      <w:r>
        <w:rPr>
          <w:rFonts w:hint="eastAsia" w:ascii="华文楷体" w:hAnsi="华文楷体" w:eastAsia="华文楷体" w:cs="华文楷体"/>
          <w:b w:val="0"/>
          <w:bCs w:val="0"/>
          <w:sz w:val="24"/>
          <w:szCs w:val="24"/>
          <w:lang w:val="en-US" w:eastAsia="zh-CN"/>
        </w:rPr>
        <w:t>保险在金融业中开放比较早，目前外资保险在我国设立了56家营业机构，我国在海外设立了37家保险营业机构，2家保险公司进入全球保险业前10。近日，国家宣布了放开外资投资中国保险机构股权比例的政策。下一步，我们还将推动更多开放政策在自贸区和改革试验区先行先试，鼓励外资进入责任、健康、养老等保险领域。有序推进监管开放，积极借鉴国际经验，逐步提升我国在国际保险监管规则制定中的话语权。</w:t>
      </w:r>
    </w:p>
    <w:p>
      <w:pPr>
        <w:spacing w:line="360" w:lineRule="auto"/>
        <w:jc w:val="left"/>
        <w:rPr>
          <w:rFonts w:hint="eastAsia" w:ascii="华文楷体" w:hAnsi="华文楷体" w:eastAsia="华文楷体" w:cs="华文楷体"/>
          <w:b w:val="0"/>
          <w:bCs w:val="0"/>
          <w:sz w:val="24"/>
          <w:szCs w:val="24"/>
          <w:lang w:val="en-US" w:eastAsia="zh-CN"/>
        </w:rPr>
      </w:pPr>
    </w:p>
    <w:p>
      <w:pPr>
        <w:spacing w:line="360" w:lineRule="auto"/>
        <w:ind w:firstLine="480" w:firstLineChars="200"/>
        <w:jc w:val="center"/>
        <w:rPr>
          <w:rFonts w:hint="eastAsia" w:ascii="华文中宋" w:hAnsi="华文中宋" w:eastAsia="华文中宋" w:cs="华文中宋"/>
          <w:b/>
          <w:bCs w:val="0"/>
          <w:color w:val="auto"/>
          <w:sz w:val="24"/>
          <w:szCs w:val="24"/>
        </w:rPr>
      </w:pPr>
      <w:bookmarkStart w:id="5" w:name="中国保监会关于中国平安财产保险股份有限公司在西藏、甘肃和新疆等地复制推广农业保险"/>
      <w:r>
        <w:rPr>
          <w:rFonts w:hint="eastAsia" w:ascii="华文中宋" w:hAnsi="华文中宋" w:eastAsia="华文中宋" w:cs="华文中宋"/>
          <w:b/>
          <w:bCs w:val="0"/>
          <w:color w:val="auto"/>
          <w:sz w:val="24"/>
          <w:szCs w:val="24"/>
        </w:rPr>
        <w:t>中国保监会关于中国平安财产保险股份有限公司在西藏、甘肃和新疆等地复制推广农业保险产业扶贫模式试点有关事宜的函</w:t>
      </w:r>
      <w:bookmarkEnd w:id="5"/>
    </w:p>
    <w:p>
      <w:pPr>
        <w:spacing w:line="360" w:lineRule="auto"/>
        <w:ind w:firstLine="420" w:firstLineChars="200"/>
        <w:jc w:val="center"/>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eastAsia="zh-CN"/>
        </w:rPr>
        <w:t>日期：</w:t>
      </w:r>
      <w:r>
        <w:rPr>
          <w:rFonts w:hint="eastAsia" w:ascii="华文楷体" w:hAnsi="华文楷体" w:eastAsia="华文楷体" w:cs="华文楷体"/>
          <w:b w:val="0"/>
          <w:bCs/>
          <w:color w:val="auto"/>
          <w:sz w:val="21"/>
          <w:szCs w:val="21"/>
          <w:lang w:val="en-US" w:eastAsia="zh-CN"/>
        </w:rPr>
        <w:t>2018年2月23日 来源：中国保监会</w:t>
      </w:r>
    </w:p>
    <w:p>
      <w:pPr>
        <w:spacing w:line="360" w:lineRule="auto"/>
        <w:ind w:firstLine="420" w:firstLineChars="200"/>
        <w:jc w:val="center"/>
        <w:rPr>
          <w:rFonts w:hint="eastAsia" w:ascii="华文楷体" w:hAnsi="华文楷体" w:eastAsia="华文楷体" w:cs="华文楷体"/>
          <w:b w:val="0"/>
          <w:bCs/>
          <w:color w:val="auto"/>
          <w:sz w:val="21"/>
          <w:szCs w:val="21"/>
          <w:lang w:val="en-US" w:eastAsia="zh-CN"/>
        </w:rPr>
      </w:pPr>
    </w:p>
    <w:p>
      <w:pPr>
        <w:spacing w:line="360" w:lineRule="auto"/>
        <w:ind w:firstLine="480" w:firstLineChars="200"/>
        <w:jc w:val="center"/>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保监函〔2018〕17号</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left="0" w:leftChars="0" w:firstLine="0" w:firstLineChars="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中国平安财产保险股份有限公司： </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你公司《关于在新疆、甘肃、西藏等13个省（自治区）复制推广“免息免担保”的产业扶贫“台江模式”的请示》（平保产发〔2018〕31号）收悉。经研究，我会支持你公司在西藏、甘肃、新疆等三省（自治区）复制推广农业保险产业扶贫模式试点。你公司要认真贯彻落实党中央、国务院关于支持深度贫困地区脱贫攻坚要求精神，加大资源投入，结合地方脱贫攻坚需求，积极推动“台江模式”落地实施。 </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你公司应及时总结评估试点经验成效，并向有条件的地区推广。试点中遇到的新问题、新情况请及时报告我会。   </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righ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中国保监会 </w:t>
      </w:r>
    </w:p>
    <w:p>
      <w:pPr>
        <w:spacing w:line="360" w:lineRule="auto"/>
        <w:ind w:firstLine="480" w:firstLineChars="200"/>
        <w:jc w:val="righ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2018年2月13日        </w:t>
      </w:r>
    </w:p>
    <w:p>
      <w:pPr>
        <w:spacing w:line="360" w:lineRule="auto"/>
        <w:jc w:val="both"/>
        <w:rPr>
          <w:rFonts w:hint="eastAsia" w:ascii="华文楷体" w:hAnsi="华文楷体" w:eastAsia="华文楷体" w:cs="华文楷体"/>
          <w:b w:val="0"/>
          <w:bCs/>
          <w:color w:val="auto"/>
          <w:sz w:val="21"/>
          <w:szCs w:val="21"/>
          <w:lang w:val="en-US" w:eastAsia="zh-CN"/>
        </w:rPr>
      </w:pPr>
    </w:p>
    <w:p>
      <w:pPr>
        <w:spacing w:line="360" w:lineRule="auto"/>
        <w:jc w:val="both"/>
        <w:rPr>
          <w:rFonts w:hint="eastAsia" w:ascii="华文楷体" w:hAnsi="华文楷体" w:eastAsia="华文楷体" w:cs="华文楷体"/>
          <w:b w:val="0"/>
          <w:bCs/>
          <w:color w:val="auto"/>
          <w:sz w:val="21"/>
          <w:szCs w:val="21"/>
          <w:lang w:val="en-US" w:eastAsia="zh-CN"/>
        </w:rPr>
      </w:pPr>
    </w:p>
    <w:p>
      <w:pPr>
        <w:spacing w:line="360" w:lineRule="auto"/>
        <w:jc w:val="both"/>
        <w:rPr>
          <w:rFonts w:hint="eastAsia" w:ascii="华文楷体" w:hAnsi="华文楷体" w:eastAsia="华文楷体" w:cs="华文楷体"/>
          <w:b w:val="0"/>
          <w:bCs/>
          <w:color w:val="auto"/>
          <w:sz w:val="21"/>
          <w:szCs w:val="21"/>
          <w:lang w:val="en-US" w:eastAsia="zh-CN"/>
        </w:rPr>
      </w:pPr>
    </w:p>
    <w:p>
      <w:pPr>
        <w:spacing w:line="360" w:lineRule="auto"/>
        <w:ind w:firstLine="480" w:firstLineChars="200"/>
        <w:jc w:val="center"/>
        <w:rPr>
          <w:rFonts w:hint="eastAsia" w:ascii="华文中宋" w:hAnsi="华文中宋" w:eastAsia="华文中宋" w:cs="华文中宋"/>
          <w:b/>
          <w:bCs w:val="0"/>
          <w:color w:val="auto"/>
          <w:sz w:val="24"/>
          <w:szCs w:val="24"/>
          <w:lang w:val="en-US" w:eastAsia="zh-CN"/>
        </w:rPr>
      </w:pPr>
      <w:bookmarkStart w:id="6" w:name="央行：保持货币政策“稳健中性”居各大任务之首"/>
      <w:r>
        <w:rPr>
          <w:rFonts w:hint="eastAsia" w:ascii="华文中宋" w:hAnsi="华文中宋" w:eastAsia="华文中宋" w:cs="华文中宋"/>
          <w:b/>
          <w:bCs w:val="0"/>
          <w:color w:val="auto"/>
          <w:sz w:val="24"/>
          <w:szCs w:val="24"/>
          <w:lang w:val="en-US" w:eastAsia="zh-CN"/>
        </w:rPr>
        <w:t>央行：保持货币政策“稳健中性”居各大任务之首</w:t>
      </w:r>
    </w:p>
    <w:bookmarkEnd w:id="6"/>
    <w:p>
      <w:pPr>
        <w:spacing w:line="360" w:lineRule="auto"/>
        <w:ind w:firstLine="420" w:firstLineChars="200"/>
        <w:jc w:val="center"/>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val="en-US" w:eastAsia="zh-CN"/>
        </w:rPr>
        <w:t>日期:2018年2月22日 来源：北京市金融工作局、中国证券报</w:t>
      </w:r>
    </w:p>
    <w:p>
      <w:pPr>
        <w:spacing w:line="360" w:lineRule="auto"/>
        <w:jc w:val="left"/>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val="en-US" w:eastAsia="zh-CN"/>
        </w:rPr>
        <w:t xml:space="preserve"> </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中国人民银行日前发布的2017年第四季度中国货币政策执行报告指出，2017年，中国人民银行继续实施稳健中性的货币政策，货币政策和宏观审慎政策双支柱调控框架初见成效，为供给侧结构性改革和高质量发展营造了中性适度的货币金融环境。在谈到下一阶段主要政策思路时，报告明确，保持货币政策的稳健中性，管住货币供给总闸门。</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bCs w:val="0"/>
          <w:color w:val="auto"/>
          <w:sz w:val="24"/>
          <w:szCs w:val="24"/>
          <w:lang w:val="en-US" w:eastAsia="zh-CN"/>
        </w:rPr>
      </w:pPr>
      <w:r>
        <w:rPr>
          <w:rFonts w:hint="eastAsia" w:ascii="华文楷体" w:hAnsi="华文楷体" w:eastAsia="华文楷体" w:cs="华文楷体"/>
          <w:b/>
          <w:bCs w:val="0"/>
          <w:color w:val="auto"/>
          <w:sz w:val="24"/>
          <w:szCs w:val="24"/>
          <w:lang w:val="en-US" w:eastAsia="zh-CN"/>
        </w:rPr>
        <w:t>M2增速回落影响有限</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报告表示，总体看，稳健中性的货币政策取得了较好效果，在有效抑制金融体系杠杆的同时，保持了经济平稳较快增长。银行体系流动性</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中性适度，货币信贷和社会融资规模平稳增长，利率水平总体适度，人民币对美元双边汇率弹性进一步增强，双向浮动的特征更加显著，人民币汇率预期总体平稳。</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报告认为，2017年M2增速放缓的原因主要有三个：一是银行股权及其他投资科目从之前的快速扩张转为有所萎缩，是导致M2增速回落的最主要原因。二是银行债券投资规模下降。2017年以来地方债和企业债发行较上年同期放缓，银行购债相应减少，由此下拉M2增速约0.4个百分点。三是财政存款超预期增长。2017年以来，我国经济企稳向好，PPI涨幅保持高位，财政收入增长超出预期，财政存款增长较快，由此下拉M2增速约0.3个百分点。</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经济增长未受M2低增影响，主要是M2结构性变化。”招商证券首席宏观分析师谢亚轩表示，一是贷款和社融保持平稳较快增长，表外“类信贷”回归表内贷款或转为信托贷款。二是压缩“空转”资金，对实体经济影响有限。三是经济结构优化，增长更趋“轻型”，货币流通速度加快。长期来看，货币增速低一些有助于实现去杠杆，随着M2与实体经济相关性下降，宏观调控方式将从数量型转向价格型。</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bCs w:val="0"/>
          <w:color w:val="auto"/>
          <w:sz w:val="24"/>
          <w:szCs w:val="24"/>
          <w:lang w:val="en-US" w:eastAsia="zh-CN"/>
        </w:rPr>
      </w:pPr>
      <w:r>
        <w:rPr>
          <w:rFonts w:hint="eastAsia" w:ascii="华文楷体" w:hAnsi="华文楷体" w:eastAsia="华文楷体" w:cs="华文楷体"/>
          <w:b/>
          <w:bCs w:val="0"/>
          <w:color w:val="auto"/>
          <w:sz w:val="24"/>
          <w:szCs w:val="24"/>
          <w:lang w:val="en-US" w:eastAsia="zh-CN"/>
        </w:rPr>
        <w:t>管住货币供给总闸门</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在谈到下一阶段主要政策思路时，报告明确，一是保持货币政策的稳健中性，管住货币供给总闸门，综合运用价、量工具和宏观审慎政策</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加强预调微调，保持货币信贷和社会融资规模合理增长，把握好稳增长、去杠杆、防风险之间的平衡。二是促进结构优化，支持经济结构调整和转型升级。三是进一步推进利率市场化和人民币汇率形成机制改革，提高金融资源配置效率，完善金融调控机制。四是完善金融市场体系，切实发挥好金融市场在稳增长、调结构、促改革和防风险方面的作用。五是深化金融机构改革，通过增加供给和竞争改善金融服务。六是立足金融服务实体经济本质要求，做好重点领域风险防范和处置。</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华创证券首席债券分析师屈庆表示，报告继续传达稳健中性的货币政策基调，2018年货币政策难有显著放松空间，央行通过公开市场利率调整传达的引导利率上行的政策意图反而更值得关注。M2增速回落和利率上行对实体经济影响都十分有限，对货币政策收紧的负面影响不必过度担忧。</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对于目前主要发达经济体低通胀现象的讨论，报告表示，与经济复苏态势背离的低通胀现象的背后成因复杂，各方仍存在较大争议。低通胀持续的时间超过了货币当局的预期，也为未来货币政策走向带来一定的不确定性。若通胀持续低迷，货币政策可能以更渐进的方式走向正常化，在当前全球杠杆率与资产价格高企背景下，抑或导致金融风险进一步积聚。近期国际股市大幅震荡，一定程度上也与前期宽松货币政策导致股市估值较高有关。考虑到宽松货币政策可能带来的资产价格泡沫、金融体系脆弱性以及贫富分化等问题，中央银行是否仅盯物价稳定目标引起了越来越多的关注和反思。这些问题都值得进一步深入研究。当然，未来全球通胀走势仍可能有较大不确定性，对通胀的变化亦须密切监测和关注。</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center"/>
        <w:rPr>
          <w:rFonts w:hint="eastAsia" w:ascii="华文中宋" w:hAnsi="华文中宋" w:eastAsia="华文中宋" w:cs="华文中宋"/>
          <w:b/>
          <w:bCs w:val="0"/>
          <w:color w:val="auto"/>
          <w:sz w:val="24"/>
          <w:szCs w:val="24"/>
          <w:lang w:val="en-US" w:eastAsia="zh-CN"/>
        </w:rPr>
      </w:pPr>
      <w:bookmarkStart w:id="7" w:name="一行三会勾勒金融任务图多个“首次提出”引关注"/>
      <w:r>
        <w:rPr>
          <w:rFonts w:hint="eastAsia" w:ascii="华文中宋" w:hAnsi="华文中宋" w:eastAsia="华文中宋" w:cs="华文中宋"/>
          <w:b/>
          <w:bCs w:val="0"/>
          <w:color w:val="auto"/>
          <w:sz w:val="24"/>
          <w:szCs w:val="24"/>
          <w:lang w:val="en-US" w:eastAsia="zh-CN"/>
        </w:rPr>
        <w:t>一行三会勾勒金融任务图 多个“首次提出”引关注</w:t>
      </w:r>
    </w:p>
    <w:bookmarkEnd w:id="7"/>
    <w:p>
      <w:pPr>
        <w:spacing w:line="360" w:lineRule="auto"/>
        <w:ind w:firstLine="420" w:firstLineChars="200"/>
        <w:jc w:val="center"/>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val="en-US" w:eastAsia="zh-CN"/>
        </w:rPr>
        <w:t>日期:2018年2月23日 来源：北京市金融工作局、新华网</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近期，金融系统“一行三会”相继召开年度工作会议，研判经济金融形势，总结并部署安排工作——对于2018年经济金融领域监管定调的把握由此浮出水面。从会议透出的政策调度看，严监管之下金融业稳增长、促改革、防风险将是贯穿全年的“主线任务”。而与往年工作会议通稿相比，一些在今年首次出现的重要表述，料将成为新时代所赋予金融业新使命的着力点。</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2018年是贯彻党的十九大精神的开局之年，是改革开放40周年，是决胜全面建成小康社会、实施“十三五”规划承上启下的关键一年。在此中国经济转型升级、发展面临新挑战的重要关口，金融业排除隐患、行稳致远至为关键。</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紧扣党的十九大报告中提出的重要要求，继全国金融工作会议特别强调提出后，今年央行首次在年度工作会议上公开明确“健全货币政策与宏观审慎政策双支柱调控框架”。作为“双支柱”的两条“腿”，货币政策与宏观审慎政策互为补充、相互配合、相辅相成，料将长期保持政策定力，以推动供给侧结构性改革的持续深化。</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央行积极稳妥推动货币政策框架从数量型调控为主向价格型调控为主逐步转型，创新多种货币政策工具，保持流动性基本稳定，不断增强利率调控和传导能力。同时，着力建立和完善了宏观审慎政策框架，不少探索从全球看也具有创新性。”交通银行首席经济学家连平这样解读。</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与高层要求“加快形成融资功能完备、基础制度扎实、市场监管有效、投资者合法权益得到充分保护的股票市场”相呼应，证监会系统2018年工作会议首次将“保护投资者合法权益”上升为“根本使命”。截至2017年底，我国资本市场个人投资者已达1.34亿，保护好他们的合法权益，直接关系到上亿家庭、数亿人民群众的切身利益。保护好投资者尤其是中小投资者的合法权益，就是保护人民群众的利益。“根本使命”一词透出监管工作的初心，也显现出对我国资本市场的改革发展实践中坚持以人民为中心的发展思想的深刻理解。</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“一行三会”会议通稿中，还有这样一些“干货”：</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bCs w:val="0"/>
          <w:color w:val="auto"/>
          <w:sz w:val="24"/>
          <w:szCs w:val="24"/>
          <w:lang w:val="en-US" w:eastAsia="zh-CN"/>
        </w:rPr>
        <w:t>央行：防范化解重大金融风险</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央行在2月5日至6日召开的工作会议上提出，要健全货币政策和宏观审慎政策双支柱调控框架，保持货币政策稳健中性，打好防范化解重大金融风险攻坚战，大力推进金融改革开放发展，促进金融更好为实体经济服务。</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会议提出，2018年要保持货币政策稳健中性。综合运用多种货币政策工具，保持银行体系流动性合理稳定，促进货币信贷和社会融资规模合理增长。</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为进一步支持供给侧结构性改革，人民银行2018年将引导金融机构加大对国民经济重点领域和薄弱环节的支持力度，做好军民融合发展、乡村振兴等国家战略的金融服务，大力推进深度贫困地区金融精准扶贫工作。完善住房金融体系，建立健全住房租赁金融支持体系。</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防范化解金融风险方面，人民银行将加强金融风险研判及重点领域风险防控，完善金融风险监测、评估、预警和处置体系。进一步完善宏观审慎政策框架，加强影子银行、房地产金融等的宏观审慎管理。建立完善互联网金融监管和风险防范长效机制。</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在利率和汇率方面，人民银行2018年将深化利率市场化改革，继续探索利率走廊机制，增强利率调控能力。加大市场决定汇率的力度，保持人民币汇率在合理均衡水平上的基本稳定。</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bCs w:val="0"/>
          <w:color w:val="auto"/>
          <w:sz w:val="24"/>
          <w:szCs w:val="24"/>
          <w:lang w:val="en-US" w:eastAsia="zh-CN"/>
        </w:rPr>
        <w:t>证监会：将改革发行上市制度 更好服务国家战略</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中国证监会近期指出，今年将改革发行上市制度，加大对新技术新产业新业态新模式的支持力度。据记者了解，这将是今年证监会工作的一大重点。</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在近期的证监会系统2018年工作会议上，证监会明确，今年要坚决打好防范化解资本市场重大风险攻坚战，加强股市、债市、期货市场风险监测和应对能力建设，坚决守住不发生系统性风险的底线。</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改革方面，证监会提出，要以服务国家战略、建设现代化经济体系为导向，吸收国际资本市场成熟有效有益的制度与方法，改革发行上市制度，努力增加制度的包容性和适应性，加大对新技术新产业新业态新模式的支持力度。</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工作会议上，证监会还提出，要加快多层次资本市场体系建设，继续深化新三板改革，促进区域性股权市场规范发展，大力发展创业投资、天使投资，并引导期货与衍生品市场健康发展。</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今年，证监会还将大力推进监管智能化科技化，持续强化稽查执法，严厉打击各类违法违规行为，把保护投资者合法权益的工作提高到一个新水平。</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总结去年工作时，证监会表示，去年一年，资本市场改革发展稳定各项工作迈出坚实步伐，服务实体经济的直接融资功能进一步增强，“IPO堰塞湖”现象有效缓解，新三板分层和交易制度改革取得重要突破，股票发行、减持、退市等基础制度进一步夯实，市场双向开放水平进一步提高。</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证监会表示，去年以来，依法全面从严监管的态势进一步巩固，市场生态呈现积极变化，市场运行进一步稳健，保护投资者合法权益的能力和水平进一步提升。</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bCs w:val="0"/>
          <w:color w:val="auto"/>
          <w:sz w:val="24"/>
          <w:szCs w:val="24"/>
          <w:lang w:val="en-US" w:eastAsia="zh-CN"/>
        </w:rPr>
      </w:pPr>
      <w:r>
        <w:rPr>
          <w:rFonts w:hint="eastAsia" w:ascii="华文楷体" w:hAnsi="华文楷体" w:eastAsia="华文楷体" w:cs="华文楷体"/>
          <w:b/>
          <w:bCs w:val="0"/>
          <w:color w:val="auto"/>
          <w:sz w:val="24"/>
          <w:szCs w:val="24"/>
          <w:lang w:val="en-US" w:eastAsia="zh-CN"/>
        </w:rPr>
        <w:t>银监会：抑制居民杠杆率、清理金控集团</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打好防范化解重大风险攻坚战，银行监管应该怎么干？银监会给出答案：严控对高负债企业融资、严控个人贷款违规流入股市和房市、清理规范金融控股集团、有序处置高风险机构等。</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全国银行业监督管理工作会议近期召开。银监会对当前银行业风险形势的判断为：风险总体可控，但形势依然严峻复杂，面临若干重大挑战。</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银监会表示，要着力降低企业负债率，严格控制对高负债率企业融资，建立联合授信和债权人委员会机制，加快不良贷款处置速度。</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居民杠杆率也首次成为控制的重点。银监会表示，要努力抑制居民杠杆率，重点是控制居民杠杆率的过快增长，打击挪用消费贷款、违规透支信用卡等行为，严控个人贷款违规流入股市和房市。</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银监会表示，要清理规范金融控股集团，推动加快出台金融控股公司监管办法。有序处置高风险机构，实行名单制管理，制定并有效实施风险压降规划和应急预案。严厉打击非法金融活动，推动尽快出台处置非法集资条例。</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2017年大幅下降的同业业务将继续被收缩。银监会表示，要继续压缩同业投资，将特定目的载体投资作为监管检查重点，对委外机构实行名单制管理。同时严格规范交叉金融产品，推动银行及早开始理财业务转型，逐步压缩银信类通道业务。</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以改革促进银行业提高服务能力也是银监会2018年的工作重点。银监会表示，要加快建立有中国特色的现代银行制度，加强股东穿透监管，规范董事会、监事会运作。全力推动银行业向高质量发展转变，重塑资产负债表和表外业务表两张报表，再造监督评价和监管评级两大体系。</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bCs w:val="0"/>
          <w:color w:val="auto"/>
          <w:sz w:val="24"/>
          <w:szCs w:val="24"/>
          <w:lang w:val="en-US" w:eastAsia="zh-CN"/>
        </w:rPr>
      </w:pPr>
      <w:r>
        <w:rPr>
          <w:rFonts w:hint="eastAsia" w:ascii="华文楷体" w:hAnsi="华文楷体" w:eastAsia="华文楷体" w:cs="华文楷体"/>
          <w:b/>
          <w:bCs w:val="0"/>
          <w:color w:val="auto"/>
          <w:sz w:val="24"/>
          <w:szCs w:val="24"/>
          <w:lang w:val="en-US" w:eastAsia="zh-CN"/>
        </w:rPr>
        <w:t>保监会：以重塑保险监管为契机整顿市场乱象</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1月22日召开的全国保险监管工作会议上，保监会副主席陈文辉为新一年监管工作“划重点”。</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要重塑保险业形象，首先就要重塑监管，坚决打击违法违规行为和市场乱象，形成高压震慑。</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陈文辉说，保险监管在从严监管方面还存在一定差距，原因是多方面的，有的监管人员没有把握好监管定位，害怕影响发展，有的担当不够，不愿意得罪人，还有的甚至和监管对象搞权力勾兑。</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监管‘长牙齿’才能让违规机构长记性。”陈文辉说，要使“从严监管”成为2018年保险监管工作的关键词，配足配强监管资源，聚焦股权、资本、资金运用等突出风险和农业保险、中介市场、互联网保险等重点领域，集中整治车险市场虚列费用、虚开发票等违法违规乱象。</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他说，对违法违规机构，必须依法加大行政处罚力度，坚持高管、机构双罚，在市场准入、产品审批备案、高管核准等方面进行必要限制。对影响恶劣、屡查屡犯的机构和人员依法采取顶格处罚，坚决打击顶风作案行为，对涉嫌违法犯罪的坚决移送司法。</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陈文辉说，保监会还将在国务院金融稳定发展委员会的统一部署下，积极配合人民银行履行好宏观审慎管理职责，强化与银监会、证监会等部门的审慎监管协调，落实统筹监管、信息互通、标准统一的要求，切实防控跨市场、跨行业、跨领域的交叉性金融风险。</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center"/>
        <w:rPr>
          <w:rFonts w:hint="eastAsia" w:ascii="华文楷体" w:hAnsi="华文楷体" w:eastAsia="华文楷体" w:cs="华文楷体"/>
          <w:b w:val="0"/>
          <w:bCs/>
          <w:color w:val="auto"/>
          <w:sz w:val="21"/>
          <w:szCs w:val="21"/>
          <w:lang w:val="en-US" w:eastAsia="zh-CN"/>
        </w:rPr>
      </w:pPr>
      <w:bookmarkStart w:id="8" w:name="监管发力：同业理财告别野蛮生长"/>
      <w:r>
        <w:rPr>
          <w:rFonts w:hint="eastAsia" w:ascii="华文中宋" w:hAnsi="华文中宋" w:eastAsia="华文中宋" w:cs="华文中宋"/>
          <w:b/>
          <w:bCs w:val="0"/>
          <w:color w:val="auto"/>
          <w:sz w:val="24"/>
          <w:szCs w:val="24"/>
          <w:lang w:val="en-US" w:eastAsia="zh-CN"/>
        </w:rPr>
        <w:t>监管发力：同业理财告别野蛮生长</w:t>
      </w:r>
    </w:p>
    <w:bookmarkEnd w:id="8"/>
    <w:p>
      <w:pPr>
        <w:spacing w:line="360" w:lineRule="auto"/>
        <w:ind w:firstLine="420" w:firstLineChars="200"/>
        <w:jc w:val="center"/>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val="en-US" w:eastAsia="zh-CN"/>
        </w:rPr>
        <w:t>日期:2018年2月23日 来源：北京市金融工作局、金融时报</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春节前夕，天津银监局披露罚单，对辖区内的天津金城银行的同业业务违规进行处罚。据银监会网站信息显示，该行存在买入返售业务标的不符合监管规定、同业投资业务投向不审慎、同业业务部分管理制度缺失、同业投资投后管理失职等问题，共被罚款合计160万元。</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事实上，在严监管趋势下，同业理财野蛮生长的状态已渐行渐远。据银行业理财登记托管中心近日发布的《中国银行业理财市场报告（2017）》显示，截至2017年底，金融同业类产品存续余额为3.25万亿元，占全部理财产品存续余额的11%。金融同业类产品存续余额较年初大幅减少3.40万亿元，降幅为51.13%；占比较年初下降11.88个百分点，而在2016年时这一占比一度高达20%。</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由于同业类理财产品底层资产不清晰，穿透式管理难度较大，作为本轮监管重点其降幅最为明显。”交行金融研究中心高级研究员赵亚蕊解读称，“在防范化解重大风险的背景下，同业类理财仍将是未来的监管整治重点，尤其是随着资管新规的生效，理财结构将继续优化，同业理财规模也将进一步压缩。”</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bCs w:val="0"/>
          <w:color w:val="auto"/>
          <w:sz w:val="24"/>
          <w:szCs w:val="24"/>
          <w:lang w:val="en-US" w:eastAsia="zh-CN"/>
        </w:rPr>
      </w:pPr>
      <w:r>
        <w:rPr>
          <w:rFonts w:hint="eastAsia" w:ascii="华文楷体" w:hAnsi="华文楷体" w:eastAsia="华文楷体" w:cs="华文楷体"/>
          <w:b/>
          <w:bCs w:val="0"/>
          <w:color w:val="auto"/>
          <w:sz w:val="24"/>
          <w:szCs w:val="24"/>
          <w:lang w:val="en-US" w:eastAsia="zh-CN"/>
        </w:rPr>
        <w:t>严监管剑指同业理财</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作为银监部门处罚民营银行的第一单，天津金城银行在同业业务领域的违规，在反映出部分银行在发展同业业务时衍生出的高杠杆、脱实向虚等风险同时，也显示出监管部门对同业理财领域乱象的治理力度。</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严监管的趋势从各个地方监管部门所提供的数据均有所反映。北京银监局的数据显示，截至2017年年末，辖内银行业同业资产余额同比下降3.07%，近10年来首次出现负增长。同业负债继2016年首次出现负增长后，在2017年进一步同比下降15.62%。</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业内人士表示，同业理财常常异化为同业套利链条的一个环节，而2017年对同业存单的供给端、投资端监管措施密集出台，使得存单发行显著受限，这是同业理财占比下降的重要原因。</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记者梳理发现，从去年延续至今的强监管浪潮中，多项规定剑指同业理财。2017年，银监会6号文指出要整治同业业务，加强交叉金融业务管控；46号文在开展理财空转套利专项治理中，把“是否存在利用同业理财购买本行同业存单现象”作为其主要内容之一；此外，在针对“四不当”专项治理的53号文中，同业业务和理财业务均为不当交易方面所重点关注的领域。</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今年1月举行的全国银行业监督管理工作会议上，监管部门表示要“继续压缩同业投资，将特定目的载体投资作为监管检查重点，对委外机构实行名单制管理”。同月，银监会发布《关于进一步深化整治银行业市场乱象的通知》，明确要“严查同业、理财、表外等业务层层嵌套”。</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bCs w:val="0"/>
          <w:i w:val="0"/>
          <w:iCs w:val="0"/>
          <w:color w:val="auto"/>
          <w:sz w:val="24"/>
          <w:szCs w:val="24"/>
          <w:lang w:val="en-US" w:eastAsia="zh-CN"/>
        </w:rPr>
      </w:pPr>
      <w:r>
        <w:rPr>
          <w:rFonts w:hint="eastAsia" w:ascii="华文楷体" w:hAnsi="华文楷体" w:eastAsia="华文楷体" w:cs="华文楷体"/>
          <w:b/>
          <w:bCs w:val="0"/>
          <w:i w:val="0"/>
          <w:iCs w:val="0"/>
          <w:color w:val="auto"/>
          <w:sz w:val="24"/>
          <w:szCs w:val="24"/>
          <w:lang w:val="en-US" w:eastAsia="zh-CN"/>
        </w:rPr>
        <w:t>野蛮生长不复返</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在这一轮监管发力之前，银行的同业理财增长迅速。数据显示，2014年～2016年，同业理财规模和占比不断上升。同业理财规模从2014年年末的0.56万亿元，飙升到2016年的5.99万亿元。</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追根溯源，恒丰银行研究院商业银行研究中心研究员王丽娟表示，2012年以来，我国经济增速放缓，经济下行压力加大。同时，在宽松货币环境下，市场流动性相对充足，一些金融机构尤其是中小银行开启了新的资产负债运作方式，在负债端逐步加大同业存单的发行，以低成本方式吸纳资金，同时在资产端又大量购买同业理财，开启了吃“息差”模式。</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在强监管的趋势下，银行业同业理财也渐渐告别野蛮生长。王丽娟分析认为，监管发力推进商业银行加速去杠杆，这使得银行业经营趋于规范，市场乱象在逐步减少，资金“脱实向虚”势头得到进一步遏制。2017年以来，银行业同业理财业务保持收缩态势，银行业潜在风险得到有序释放。</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数据显示，相比2017年中，截至2017年年末，仅国有大型银行的理财规模同比增速从3％上升至6%，而股份行、城商行、农商行规模同比增速则由2017年中的8.4%、17%、13%分别下降至-2.4%、7.3%、-4.3%。对此，中银证券分析认为，大行的资金来源端同业理财占比较低，因此受监管冲击有限。与之相反，中小银行理财业务的放缓则充分反映了监管因素的影响。</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同业理财逐步规范</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多位专家均表示，当前理财产品存在多层嵌套、底层资产不明等问题是同业理财乱象的一个症结所在。“有的银行发行理财产品募集资金后，会投入基金公司的产品或是券商的资管计划，而这个产品或资管计划的终端又可能是某个信托，最终资产很难穿透。” 王丽娟举例称。</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事实上，一行三会在去年底重磅推出的《关于规范金融机构资产管理业务的指导意见（征求意见稿）》（以下简称《指导意见》）已经开始强调针对这个问题的穿透式监管。</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首先，《指导意见》对嵌套给出了明确定义。“资产管理产品可以投资一层资产管理产品，但所投资的资产管理产品不得再投资其他资产管理产品，并且要求切实履行主动管理职责。” 王丽娟认为，消除通道业务和多层嵌套，有利于降低企业融资成本，明晰理财底层资产。</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其次，《指导意见》也提出要建立资产管理产品统一报告制度。“在人民银行建立统一资管产品信息系统后，穿透监管下多层嵌套的通道业务将面临进一步收缩。” 王丽娟认为，这会对传统的通道类业务带来巨大冲击。</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除了多层嵌套以外，监管标准的不统一也为同业理财滋生了监管套利空间。王丽娟表示，在实际操作中，银行理财可以通过嵌套定向资管、基金专户、基金子公司等，变相突破投资者人数和适当性限制，将低成本、低风险、短期限的资金配置到高收益、高风险、长期限的资产中。为了消除监管套利空间，《指导意见》按照资管产品的类型制定统一监管标准，对同类资管业务作出一致性规定，实行公平的市场准入和监管，以期最大程度地消除监管套利空间。</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可以预期的是，当《指导意见》在征求意见并正式落地后，银行业同业理财业务的规范化将大大提速。王丽娟认为，在这个过程中，银行业应顺势而为，专注主业，回归服务实体经济本源，实现由“资金中介”向“服务中介”转型，减少监管套利业务模式。同时，要确保每只理财产品与所投资资产相对应，做到单独管理、单独建账、单独核算，主动压降理财业务增速，不碰触监管红线。</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jc w:val="center"/>
        <w:rPr>
          <w:rFonts w:hint="eastAsia" w:ascii="华文中宋" w:hAnsi="华文中宋" w:eastAsia="华文中宋" w:cs="华文中宋"/>
          <w:b/>
          <w:bCs w:val="0"/>
          <w:color w:val="auto"/>
          <w:sz w:val="24"/>
          <w:szCs w:val="24"/>
          <w:lang w:val="en-US" w:eastAsia="zh-CN"/>
        </w:rPr>
      </w:pPr>
      <w:bookmarkStart w:id="9" w:name="最高人民法院关于人民法院办理仲裁裁决执行案件若干问题的规定"/>
      <w:r>
        <w:rPr>
          <w:rFonts w:hint="eastAsia" w:ascii="华文中宋" w:hAnsi="华文中宋" w:eastAsia="华文中宋" w:cs="华文中宋"/>
          <w:b/>
          <w:bCs w:val="0"/>
          <w:color w:val="auto"/>
          <w:sz w:val="24"/>
          <w:szCs w:val="24"/>
          <w:lang w:val="en-US" w:eastAsia="zh-CN"/>
        </w:rPr>
        <w:t>最高人民法院关于人民法院办理仲裁裁决执行案件若干问题的规定</w:t>
      </w:r>
    </w:p>
    <w:bookmarkEnd w:id="9"/>
    <w:p>
      <w:pPr>
        <w:spacing w:line="360" w:lineRule="auto"/>
        <w:jc w:val="center"/>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val="en-US" w:eastAsia="zh-CN"/>
        </w:rPr>
        <w:t>日期：2018年2月23日 来源：最高人民法院网</w:t>
      </w:r>
    </w:p>
    <w:p>
      <w:pPr>
        <w:spacing w:line="360" w:lineRule="auto"/>
        <w:jc w:val="center"/>
        <w:rPr>
          <w:rFonts w:hint="eastAsia" w:ascii="华文楷体" w:hAnsi="华文楷体" w:eastAsia="华文楷体" w:cs="华文楷体"/>
          <w:b w:val="0"/>
          <w:bCs/>
          <w:color w:val="auto"/>
          <w:sz w:val="21"/>
          <w:szCs w:val="21"/>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为了规范人民法院办理仲裁裁决执行案件，依法保护当事人、案外人的合法权益，根据《中华人民共和国民事诉讼法》《中华人民共和国仲裁法》等法律规定，结合人民法院执行工作实际，制定本规定。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第一条    本规定所称的仲裁裁决执行案件，是指当事人申请人民法院执行仲裁机构依据仲裁法作出的仲裁裁决或者仲裁调解书的案件。</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第二条    当事人对仲裁机构作出的仲裁裁决或者仲裁调解书申请执行的，由被执行人住所地或者被执行的财产所在地的中级人民法院管辖。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符合下列条件的，经上级人民法院批准，中级人民法院可以参照民事诉讼法第三十八条的规定指定基层人民法院管辖：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（一）执行标的额符合基层人民法院一审民商事案件级别管辖受理范围；</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（二）被执行人住所地或者被执行的财产所在地在被指定的基层人民法院辖区内。</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被执行人、案外人对仲裁裁决执行案件申请不予执行的，负责执行的中级人民法院应当另行立案审查处理；执行案件已指定基层人民法院管辖的，应当于收到不予执行申请后三日内移送原执行法院另行立案审查处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第三条   仲裁裁决或者仲裁调解书执行内容具有下列情形之一导致无法执行的，人民法院可以裁定驳回执行申请；导致部分无法执行的，可以裁定驳回该部分的执行申请；导致部分无法执行且该部分与其他部分不可分的，可以裁定驳回执行申请。</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（一）权利义务主体不明确；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（二）金钱给付具体数额不明确或者计算方法不明确导致无法计算出具体数额；</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（三）交付的特定物不明确或者无法确定；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（四）行为履行的标准、对象、范围不明确。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仲裁裁决或者仲裁调解书仅确定继续履行合同，但对继续履行的权利义务，以及履行的方式、期限等具体内容不明确，导致无法执行的，依照前款规定处理。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第四条    对仲裁裁决主文或者仲裁调解书中的文字、计算错误以及仲裁庭已经认定但在裁决主文中遗漏的事项，可以补正或说明的，人民法院应当书面告知仲裁庭补正或说明，或者向仲裁机构调阅仲裁案卷查明。仲裁庭不补正也不说明，且人民法院调阅仲裁案卷后执行内容仍然不明确具体无法执行的，可以裁定驳回执行申请。</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第五条    申请执行人对人民法院依照本规定第三条、第四条作出的驳回执行申请裁定不服的，可以自裁定送达之日起十日内向上一级人民法院申请复议。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第六条    仲裁裁决或者仲裁调解书确定交付的特定物确已毁损或者灭失的，依照《最高人民法院关于适用〈中华人民共和国民事诉讼法〉的解释》第四百九十四条的规定处理。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第七条    被执行人申请撤销仲裁裁决并已由人民法院受理的，或者被执行人、案外人对仲裁裁决执行案件提出不予执行申请并提供适当担保的，执行法院应当裁定中止执行。中止执行期间，人民法院应当停止处分性措施，但申请执行人提供充分、有效的担保请求继续执行的除外；执行标的查封、扣押、冻结期限届满前，人民法院可以根据当事人申请或者依职权办理续行查封、扣押、冻结手续。</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申请撤销仲裁裁决、不予执行仲裁裁决案件司法审查期间，当事人、案外人申请对已查封、扣押、冻结之外的财产采取保全措施的，负责审查的人民法院参照民事诉讼法第一百条的规定处理。司法审查后仍需继续执行的，保全措施自动转为执行中的查封、扣押、冻结措施；采取保全措施的人民法院与执行法院不一致的，应当将保全手续移送执行法院，保全裁定视为执行法院作出的裁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第八条    被执行人向人民法院申请不予执行仲裁裁决的，应当在执行通知书送达之日起十五日内提出书面申请；有民事诉讼法第二百三十七条第二款第四、六项规定情形且执行程序尚未终结的，应当自知道或者应当知道有关事实或案件之日起十五日内提出书面申请。</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本条前款规定期限届满前，被执行人已向有管辖权的人民法院申请撤销仲裁裁决且已被受理的，自人民法院驳回撤销仲裁裁决申请的裁判文书生效之日起重新计算期限。</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第九条    案外人向人民法院申请不予执行仲裁裁决或者仲裁调解书的，应当提交申请书以及证明其请求成立的证据材料，并符合下列条件：</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（一）有证据证明仲裁案件当事人恶意申请仲裁或者虚假仲裁，损害其合法权益；</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（二）案外人主张的合法权益所涉及的执行标的尚未执行终结；</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（三）自知道或者应当知道人民法院对该标的采取执行措施之日起三十日内提出。</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第十条    被执行人申请不予执行仲裁裁决，对同一仲裁裁决的多个不予执行事由应当一并提出。不予执行仲裁裁决申请被裁定驳回后，再次提出申请的，人民法院不予审查，但有新证据证明存在民事诉讼法第二百三十七条第二款第四、六项规定情形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第十一条    人民法院对不予执行仲裁裁决案件应当组成合议庭围绕被执行人申请的事由、案外人的申请进行审查;对被执行人没有申请的事由不予审查，但仲裁裁决可能违背社会公共利益的除外。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被执行人、案外人对仲裁裁决执行案件申请不予执行的，人民法院应当进行询问；被执行人在询问终结前提出其他不予执行事由的，应当一并审查。人民法院审查时，认为必要的，可以要求仲裁庭作出说明，或者向仲裁机构调阅仲裁案卷。</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第十二条    人民法院对不予执行仲裁裁决案件的审查，应当在立案之日起两个月内审查完毕并作出裁定；有特殊情况需要延长的，经本院院长批准，可以延长一个月。</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第十三条    下列情形经人民法院审查属实的，应当认定为民事诉讼法第二百三十七条第二款第二项规定的“裁决的事项不属于仲裁协议的范围或者仲裁机构无权仲裁的”情形：</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（一）裁决的事项超出仲裁协议约定的范围；</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（二）裁决的事项属于依照法律规定或者当事人选择的仲裁规则规定的不可仲裁事项；</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（三）裁决内容超出当事人仲裁请求的范围；</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（四）作出裁决的仲裁机构非仲裁协议所约定。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第十四条    违反仲裁法规定的仲裁程序、当事人选择的仲裁规则或者当事人对仲裁程序的特别约定，可能影响案件公正裁决，经人民法院审查属实的，应当认定为民事诉讼法第二百三十七条第二款第三项规定的“仲裁庭的组成或者仲裁的程序违反法定程序的”情形。</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当事人主张未按照仲裁法或仲裁规则规定的方式送达法律文书导致其未能参与仲裁，或者仲裁员根据仲裁法或仲裁规则的规定应当回避而未回避，可能影响公正裁决，经审查属实的，人民法院应当支持；仲裁庭按照仲裁法或仲裁规则以及当事人约定的方式送达仲裁法律文书，当事人主张不符合民事诉讼法有关送达规定的，人民法院不予支持。</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适用的仲裁程序或仲裁规则经特别提示，当事人知道或者应当知道法定仲裁程序或选择的仲裁规则未被遵守，但仍然参加或者继续参加仲裁程序且未提出异议，在仲裁裁决作出之后以违反法定程序为由申请不予执行仲裁裁决的，人民法院不予支持。</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第十五条    符合下列条件的，人民法院应当认定为民事诉讼法第二百三十七条第二款第四项规定的“裁决所根据的证据是伪造的”情形：</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（一）该证据已被仲裁裁决采信；</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（二）该证据属于认定案件基本事实的主要证据；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（三）该证据经查明确属通过捏造、变造、提供虚假证明等非法方式形成或者获取，违反证据的客观性、关联性、合法性要求。</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第十六条    符合下列条件的，人民法院应当认定为民事诉讼法第二百三十七条第二款第五项规定的“对方当事人向仲裁机构隐瞒了足以影响公正裁决的证据的”情形：</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（一）该证据属于认定案件基本事实的主要证据；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（二）该证据仅为对方当事人掌握，但未向仲裁庭提交；</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（三）仲裁过程中知悉存在该证据，且要求对方当事人出示或者请求仲裁庭责令其提交，但对方当事人无正当理由未予出示或者提交。</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当事人一方在仲裁过程中隐瞒己方掌握的证据，仲裁裁决作出后以己方所隐瞒的证据足以影响公正裁决为由申请不予执行仲裁裁决的，人民法院不予支持。</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第十七条    被执行人申请不予执行仲裁调解书或者根据当事人之间的和解协议、调解协议作出的仲裁裁决，人民法院不予支持，但该仲裁调解书或者仲裁裁决违背社会公共利益的除外。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第十八条    案外人根据本规定第九条申请不予执行仲裁裁决或者仲裁调解书，符合下列条件的，人民法院应当支持：</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（一）案外人系权利或者利益的主体；</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（二）案外人主张的权利或者利益合法、真实；</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（三）仲裁案件当事人之间存在虚构法律关系，捏造案件事实的情形；</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(四)仲裁裁决主文或者仲裁调解书处理当事人民事权利义务的结果部分或者全部错误，损害案外人合法权益。</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第十九条    被执行人、案外人对仲裁裁决执行案件逾期申请不予执行的，人民法院应当裁定不予受理；已经受理的，应当裁定驳回不予执行申请。</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被执行人、案外人对仲裁裁决执行案件申请不予执行，经审查理由成立的，人民法院应当裁定不予执行；理由不成立的，应当裁定驳回不予执行申请。</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第二十条    当事人向人民法院申请撤销仲裁裁决被驳回后，又在执行程序中以相同事由提出不予执行申请的，人民法院不予支持；当事人向人民法院申请不予执行被驳回后，又以相同事由申请撤销仲裁裁决的，人民法院不予支持。</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在不予执行仲裁裁决案件审查期间，当事人向有管辖权的人民法院提出撤销仲裁裁决申请并被受理的，人民法院应当裁定中止对不予执行申请的审查；仲裁裁决被撤销或者决定重新仲裁的，人民法院应当裁定终结执行，并终结对不予执行申请的审查；撤销仲裁裁决申请被驳回或者申请执行人撤回撤销仲裁裁决申请的，人民法院应当恢复对不予执行申请的审查；被执行人撤回撤销仲裁裁决申请的，人民法院应当裁定终结对不予执行申请的审查，但案外人申请不予执行仲裁裁决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第二十一条    人民法院裁定驳回撤销仲裁裁决申请或者驳回不予执行仲裁裁决、仲裁调解书申请的，执行法院应当恢复执行。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人民法院裁定撤销仲裁裁决或者基于被执行人申请裁定不予执行仲裁裁决，原被执行人申请执行回转或者解除强制执行措施的，人民法院应当支持。原申请执行人对已履行或者被人民法院强制执行的款物申请保全的，人民法院应当依法准许；原申请执行人在人民法院采取保全措施之日起三十日内，未根据双方达成的书面仲裁协议重新申请仲裁或者向人民法院起诉的，人民法院应当裁定解除保全。</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人民法院基于案外人申请裁定不予执行仲裁裁决或者仲裁调解书，案外人申请执行回转或者解除强制执行措施的，人民法院应当支持。</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第二十二条    人民法院裁定不予执行仲裁裁决、驳回或者不予受理不予执行仲裁裁决申请后，当事人对该裁定提出执行异议或者申请复议的，人民法院不予受理。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人民法院裁定不予执行仲裁裁决的，当事人可以根据双方达成的书面仲裁协议重新申请仲裁，也可以向人民法院起诉。</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人民法院基于案外人申请裁定不予执行仲裁裁决或者仲裁调解书，当事人不服的，可以自裁定送达之日起十日内向上一级人民法院申请复议；人民法院裁定驳回或者不予受理案外人提出的不予执行仲裁裁决、仲裁调解书申请，案外人不服的，可以自裁定送达之日起十日内向上一级人民法院申请复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第二十三条    本规定第八条、第九条关于对仲裁裁决执行案件申请不予执行的期限自本规定施行之日起重新计算。</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第二十四条    本规定自2018年3月1日起施行，本院以前发布的司法解释与本规定不一致的，以本规定为准。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本规定施行前已经执行终结的执行案件，不适用本规定；本规定施行后尚未执行终结的执行案件，适用本规定。</w:t>
      </w:r>
    </w:p>
    <w:p>
      <w:pPr>
        <w:spacing w:line="360" w:lineRule="auto"/>
        <w:jc w:val="right"/>
        <w:rPr>
          <w:rFonts w:hint="eastAsia" w:ascii="华文楷体" w:hAnsi="华文楷体" w:eastAsia="华文楷体" w:cs="华文楷体"/>
          <w:b w:val="0"/>
          <w:bCs/>
          <w:color w:val="auto"/>
          <w:sz w:val="22"/>
          <w:szCs w:val="22"/>
          <w:lang w:val="en-US" w:eastAsia="zh-CN"/>
        </w:rPr>
      </w:pPr>
      <w:r>
        <w:rPr>
          <w:rFonts w:hint="eastAsia" w:ascii="华文楷体" w:hAnsi="华文楷体" w:eastAsia="华文楷体" w:cs="华文楷体"/>
          <w:b w:val="0"/>
          <w:bCs/>
          <w:color w:val="auto"/>
          <w:sz w:val="22"/>
          <w:szCs w:val="22"/>
          <w:lang w:val="en-US" w:eastAsia="zh-CN"/>
        </w:rPr>
        <w:t>责任编辑：韩绪光</w:t>
      </w: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left"/>
        <w:rPr>
          <w:rFonts w:hint="eastAsia" w:ascii="华文楷体" w:hAnsi="华文楷体" w:eastAsia="华文楷体" w:cs="华文楷体"/>
          <w:b w:val="0"/>
          <w:bCs/>
          <w:color w:val="auto"/>
          <w:sz w:val="24"/>
          <w:szCs w:val="24"/>
          <w:lang w:val="en-US" w:eastAsia="zh-CN"/>
        </w:rPr>
      </w:pPr>
    </w:p>
    <w:p>
      <w:pPr>
        <w:spacing w:line="360" w:lineRule="auto"/>
        <w:jc w:val="center"/>
        <w:rPr>
          <w:rFonts w:hint="eastAsia" w:ascii="华文中宋" w:hAnsi="华文中宋" w:eastAsia="华文中宋" w:cs="华文中宋"/>
          <w:b/>
          <w:bCs w:val="0"/>
          <w:color w:val="auto"/>
          <w:sz w:val="24"/>
          <w:szCs w:val="24"/>
          <w:lang w:val="en-US" w:eastAsia="zh-CN"/>
        </w:rPr>
      </w:pPr>
      <w:bookmarkStart w:id="10" w:name="最高人民法院关于执行担保若干问题的规定"/>
      <w:r>
        <w:rPr>
          <w:rFonts w:hint="eastAsia" w:ascii="华文中宋" w:hAnsi="华文中宋" w:eastAsia="华文中宋" w:cs="华文中宋"/>
          <w:b/>
          <w:bCs w:val="0"/>
          <w:color w:val="auto"/>
          <w:sz w:val="24"/>
          <w:szCs w:val="24"/>
          <w:lang w:val="en-US" w:eastAsia="zh-CN"/>
        </w:rPr>
        <w:t>最高人民法院关于执行担保若干问题的规定</w:t>
      </w:r>
      <w:bookmarkEnd w:id="10"/>
    </w:p>
    <w:p>
      <w:pPr>
        <w:spacing w:line="360" w:lineRule="auto"/>
        <w:jc w:val="center"/>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val="en-US" w:eastAsia="zh-CN"/>
        </w:rPr>
        <w:t>日期：2018年2月23日 来源：最高人民法院网</w:t>
      </w:r>
    </w:p>
    <w:p>
      <w:pPr>
        <w:spacing w:line="360" w:lineRule="auto"/>
        <w:jc w:val="center"/>
        <w:rPr>
          <w:rFonts w:hint="eastAsia" w:ascii="华文楷体" w:hAnsi="华文楷体" w:eastAsia="华文楷体" w:cs="华文楷体"/>
          <w:b w:val="0"/>
          <w:bCs/>
          <w:color w:val="auto"/>
          <w:sz w:val="21"/>
          <w:szCs w:val="21"/>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为了进一步规范执行担保，维护当事人、利害关系人的合法权益，根据《中华人民共和国民事诉讼法》等法律规定，结合执行实践，制定本规定。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第一条  本规定所称执行担保，是指担保人依照民事诉讼法第二百三十一条规定，为担保被执行人履行生效法律文书确定的全部或者部分义务，向人民法院提供的担保。</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第二条  执行担保可以由被执行人提供财产担保，也可以由他人提供财产担保或者保证。</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第三条  被执行人或者他人提供执行担保的，应当向人民法院提交担保书，并将担保书副本送交申请执行人。</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第四条  担保书中应当载明担保人的基本信息、暂缓执行期限、担保期间、被担保的债权种类及数额、担保范围、担保方式、被执行人于暂缓执行期限届满后仍不履行时担保人自愿接受直接强制执行的承诺等内容。</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提供财产担保的，担保书中还应当载明担保财产的名称、数量、质量、状况、所在地、所有权或者使用权归属等内容。</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第五条  公司为被执行人提供执行担保的，应当提交符合公司法第十六条规定的公司章程、董事会或者股东会、股东大会决议。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第六条  被执行人或者他人提供执行担保，申请执行人同意的，应当向人民法院出具书面同意意见，也可以由执行人员将其同意的内容记入笔录，并由申请执行人签名或者盖章。</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第七条  被执行人或者他人提供财产担保，可以依照物权法、担保法规定办理登记等担保物权公示手续；已经办理公示手续的，申请执行人可以依法主张优先受偿权。</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申请执行人申请人民法院查封、扣押、冻结担保财产的，人民法院应当准许，但担保书另有约定的除外。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第八条  人民法院决定暂缓执行的，可以暂缓全部执行措施的实施，但担保书另有约定的除外。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第九条  担保书内容与事实不符，且对申请执行人合法权益产生实质影响的，人民法院可以依申请执行人的申请恢复执行。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第十条  暂缓执行的期限应当与担保书约定一致，但最长不得超过一年。</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第十一条  暂缓执行期限届满后被执行人仍不履行义务，或者暂缓执行期间担保人有转移、隐藏、变卖、毁损担保财产等行为的，人民法院可以依申请执行人的申请恢复执行，并直接裁定执行担保财产或者保证人的财产，不得将担保人变更、追加为被执行人。</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执行担保财产或者保证人的财产，以担保人应当履行义务部分的财产为限。被执行人有便于执行的现金、银行存款的，应当优先执行该现金、银行存款。</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第十二条  担保期间自暂缓执行期限届满之日起计算。</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担保书中没有记载担保期间或者记载不明的，担保期间为一年。</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第十三条  担保期间届满后，申请执行人申请执行担保财产或者保证人财产的，人民法院不予支持。他人提供财产担保的，人民法院可以依其申请解除对担保财产的查封、扣押、冻结。</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第十四条  担保人承担担保责任后，提起诉讼向被执行人追偿的，人民法院应予受理。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第十五条  被执行人申请变更、解除全部或者部分执行措施，并担保履行生效法律文书确定义务的，参照适用本规定。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第十六条  本规定自2018年3月1日起施行。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本规定施行前成立的执行担保，不适用本规定。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本规定施行前本院公布的司法解释与本规定不一致的，以本规定为准。</w:t>
      </w:r>
    </w:p>
    <w:p>
      <w:pPr>
        <w:spacing w:line="360" w:lineRule="auto"/>
        <w:jc w:val="right"/>
        <w:rPr>
          <w:rFonts w:hint="eastAsia" w:ascii="华文楷体" w:hAnsi="华文楷体" w:eastAsia="华文楷体" w:cs="华文楷体"/>
          <w:b w:val="0"/>
          <w:bCs/>
          <w:color w:val="auto"/>
          <w:sz w:val="22"/>
          <w:szCs w:val="22"/>
          <w:lang w:val="en-US" w:eastAsia="zh-CN"/>
        </w:rPr>
      </w:pPr>
      <w:r>
        <w:rPr>
          <w:rFonts w:hint="eastAsia" w:ascii="华文楷体" w:hAnsi="华文楷体" w:eastAsia="华文楷体" w:cs="华文楷体"/>
          <w:b w:val="0"/>
          <w:bCs/>
          <w:color w:val="auto"/>
          <w:sz w:val="22"/>
          <w:szCs w:val="22"/>
          <w:lang w:val="en-US" w:eastAsia="zh-CN"/>
        </w:rPr>
        <w:t>责任编辑：韩绪光</w:t>
      </w: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right"/>
        <w:rPr>
          <w:rFonts w:hint="eastAsia" w:ascii="华文楷体" w:hAnsi="华文楷体" w:eastAsia="华文楷体" w:cs="华文楷体"/>
          <w:b w:val="0"/>
          <w:bCs/>
          <w:color w:val="auto"/>
          <w:sz w:val="22"/>
          <w:szCs w:val="22"/>
          <w:lang w:val="en-US" w:eastAsia="zh-CN"/>
        </w:rPr>
      </w:pPr>
    </w:p>
    <w:p>
      <w:pPr>
        <w:spacing w:line="360" w:lineRule="auto"/>
        <w:jc w:val="center"/>
        <w:rPr>
          <w:rFonts w:hint="eastAsia" w:ascii="华文中宋" w:hAnsi="华文中宋" w:eastAsia="华文中宋" w:cs="华文中宋"/>
          <w:b/>
          <w:bCs w:val="0"/>
          <w:color w:val="auto"/>
          <w:sz w:val="24"/>
          <w:szCs w:val="24"/>
          <w:lang w:val="en-US" w:eastAsia="zh-CN"/>
        </w:rPr>
      </w:pPr>
      <w:bookmarkStart w:id="11" w:name="最高人民法院关于执行和解若干问题的规定"/>
      <w:r>
        <w:rPr>
          <w:rFonts w:hint="eastAsia" w:ascii="华文中宋" w:hAnsi="华文中宋" w:eastAsia="华文中宋" w:cs="华文中宋"/>
          <w:b/>
          <w:bCs w:val="0"/>
          <w:color w:val="auto"/>
          <w:sz w:val="24"/>
          <w:szCs w:val="24"/>
          <w:lang w:val="en-US" w:eastAsia="zh-CN"/>
        </w:rPr>
        <w:t>最高人民法院关于执行和解若干问题的规定</w:t>
      </w:r>
    </w:p>
    <w:bookmarkEnd w:id="11"/>
    <w:p>
      <w:pPr>
        <w:spacing w:line="360" w:lineRule="auto"/>
        <w:jc w:val="center"/>
        <w:rPr>
          <w:rFonts w:hint="eastAsia" w:ascii="华文楷体" w:hAnsi="华文楷体" w:eastAsia="华文楷体" w:cs="华文楷体"/>
          <w:b w:val="0"/>
          <w:bCs/>
          <w:color w:val="auto"/>
          <w:sz w:val="21"/>
          <w:szCs w:val="21"/>
          <w:lang w:val="en-US" w:eastAsia="zh-CN"/>
        </w:rPr>
      </w:pPr>
      <w:r>
        <w:rPr>
          <w:rFonts w:hint="eastAsia" w:ascii="华文楷体" w:hAnsi="华文楷体" w:eastAsia="华文楷体" w:cs="华文楷体"/>
          <w:b w:val="0"/>
          <w:bCs/>
          <w:color w:val="auto"/>
          <w:sz w:val="21"/>
          <w:szCs w:val="21"/>
          <w:lang w:val="en-US" w:eastAsia="zh-CN"/>
        </w:rPr>
        <w:t>日期：2018年2月23日 来源：最高人民法院网</w:t>
      </w: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p>
    <w:p>
      <w:pPr>
        <w:spacing w:line="360" w:lineRule="auto"/>
        <w:ind w:firstLine="480" w:firstLineChars="200"/>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为了进一步规范执行和解，维护当事人、利害关系人的合法权益，根据《中华人民共和国民事诉讼法》等法律规定，结合执行实践，制定本规定。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第一条  当事人可以自愿协商达成和解协议，依法变更生效法律文书确定的权利义务主体、履行标的、期限、地点和方式等内容。</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和解协议一般采用书面形式。</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第二条  和解协议达成后，有下列情形之一的，人民法院可以裁定中止执行：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（一）各方当事人共同向人民法院提交书面和解协议的；</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（二）一方当事人向人民法院提交书面和解协议，其他当事人予以认可的；</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（三）当事人达成口头和解协议，执行人员将和解协议内容记入笔录，由各方当事人签名或者盖章的。</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第三条  中止执行后，申请执行人申请解除查封、扣押、冻结的，人民法院可以准许。</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第四条  委托代理人代为执行和解，应当有委托人的特别授权。</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第五条  当事人协商一致，可以变更执行和解协议，并向人民法院提交变更后的协议，或者由执行人员将变更后的内容记入笔录，并由各方当事人签名或者盖章。</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第六条  当事人达成以物抵债执行和解协议的，人民法院不得依据该协议作出以物抵债裁定。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第七条  执行和解协议履行过程中，符合合同法第一百零一条规定情形的，债务人可以依法向有关机构申请提存；执行和解协议约定给付金钱的，债务人也可以向执行法院申请提存。</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第八条  执行和解协议履行完毕的，人民法院作执行结案处理。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第九条  被执行人一方不履行执行和解协议的，申请执行人可以申请恢复执行原生效法律文书,也可以就履行执行和解协议向执行法院提起诉讼。</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第十条  申请恢复执行原生效法律文书，适用民事诉讼法第二百三十九条申请执行期间的规定。</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当事人不履行执行和解协议的，申请恢复执行期间自执行和解协议约定履行期间的最后一日起计算。</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第十一条  申请执行人以被执行人一方不履行执行和解协议为由申请恢复执行，人民法院经审查，理由成立的，裁定恢复执行；有下列情形之一的，裁定不予恢复执行：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（一）执行和解协议履行完毕后申请恢复执行的；</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（二）执行和解协议约定的履行期限尚未届至或者履行条件尚未成就的，但符合合同法第一百零八条规定情形的除外；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（三）被执行人一方正在按照执行和解协议约定履行义务的；</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（四）其他不符合恢复执行条件的情形。</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第十二条  当事人、利害关系人认为恢复执行或者不予恢复执行违反法律规定的，可以依照民事诉讼法第二百二十五条规定提出异议。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第十三条  恢复执行后，对申请执行人就履行执行和解协议提起的诉讼，人民法院不予受理。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第十四条  申请执行人就履行执行和解协议提起诉讼，执行法院受理后，可以裁定终结原生效法律文书的执行。执行中的查封、扣押、冻结措施，自动转为诉讼中的保全措施。</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第十五条  执行和解协议履行完毕，申请执行人因被执行人迟延履行、瑕疵履行遭受损害的，可以向执行法院另行提起诉讼。</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第十六条  当事人、利害关系人认为执行和解协议无效或者应予撤销的，可以向执行法院提起诉讼。执行和解协议被确认无效或者撤销后，申请执行人可以据此申请恢复执行。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被执行人以执行和解协议无效或者应予撤销为由提起诉讼的，不影响申请执行人申请恢复执行。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第十七条  恢复执行后，执行和解协议已经履行部分应当依法扣除。当事人、利害关系人认为人民法院的扣除行为违反法律规定的，可以依照民事诉讼法第二百二十五条规定提出异议。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第十八条  执行和解协议中约定担保条款，且担保人向人民法院承诺在被执行人不履行执行和解协议时自愿接受直接强制执行的，恢复执行原生效法律文书后，人民法院可以依申请执行人申请及担保条款的约定，直接裁定执行担保财产或者保证人的财产。</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第十九条  执行过程中，被执行人根据当事人自行达成但未提交人民法院的和解协议，或者一方当事人提交人民法院但其他当事人不予认可的和解协议，依照民事诉讼法第二百二十五条规定提出异议的，人民法院按照下列情形，分别处理：</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（一）和解协议履行完毕的，裁定终结原生效法律文书的执行；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（二）和解协议约定的履行期限尚未届至或者履行条件尚未成就的，裁定中止执行，但符合合同法第一百零八条规定情形的除外；</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（三）被执行人一方正在按照和解协议约定履行义务的，裁定中止执行；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（四）被执行人不履行和解协议的，裁定驳回异议；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（五）和解协议不成立、未生效或者无效的，裁定驳回异议。</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第二十条  本规定自2018年3月1日起施行。</w:t>
      </w:r>
    </w:p>
    <w:p>
      <w:pPr>
        <w:spacing w:line="360" w:lineRule="auto"/>
        <w:jc w:val="left"/>
        <w:rPr>
          <w:rFonts w:hint="eastAsia" w:ascii="华文楷体" w:hAnsi="华文楷体" w:eastAsia="华文楷体" w:cs="华文楷体"/>
          <w:b w:val="0"/>
          <w:bCs/>
          <w:color w:val="auto"/>
          <w:sz w:val="24"/>
          <w:szCs w:val="24"/>
          <w:lang w:val="en-US" w:eastAsia="zh-CN"/>
        </w:rPr>
      </w:pPr>
      <w:r>
        <w:rPr>
          <w:rFonts w:hint="eastAsia" w:ascii="华文楷体" w:hAnsi="华文楷体" w:eastAsia="华文楷体" w:cs="华文楷体"/>
          <w:b w:val="0"/>
          <w:bCs/>
          <w:color w:val="auto"/>
          <w:sz w:val="24"/>
          <w:szCs w:val="24"/>
          <w:lang w:val="en-US" w:eastAsia="zh-CN"/>
        </w:rPr>
        <w:t xml:space="preserve"> 　　本规定施行前本院公布的司法解释与本规定不一致的，以本规定为准。</w:t>
      </w:r>
    </w:p>
    <w:p>
      <w:pPr>
        <w:spacing w:line="360" w:lineRule="auto"/>
        <w:jc w:val="right"/>
        <w:rPr>
          <w:rFonts w:hint="eastAsia" w:ascii="华文楷体" w:hAnsi="华文楷体" w:eastAsia="华文楷体" w:cs="华文楷体"/>
          <w:b w:val="0"/>
          <w:bCs/>
          <w:color w:val="auto"/>
          <w:sz w:val="22"/>
          <w:szCs w:val="22"/>
          <w:lang w:val="en-US" w:eastAsia="zh-CN"/>
        </w:rPr>
      </w:pPr>
      <w:r>
        <w:rPr>
          <w:rFonts w:hint="eastAsia" w:ascii="华文楷体" w:hAnsi="华文楷体" w:eastAsia="华文楷体" w:cs="华文楷体"/>
          <w:b w:val="0"/>
          <w:bCs/>
          <w:color w:val="auto"/>
          <w:sz w:val="22"/>
          <w:szCs w:val="22"/>
          <w:lang w:val="en-US" w:eastAsia="zh-CN"/>
        </w:rPr>
        <w:t>责任编辑：韩绪光</w:t>
      </w:r>
    </w:p>
    <w:sectPr>
      <w:footerReference r:id="rId3" w:type="default"/>
      <w:pgSz w:w="11900" w:h="16840"/>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auto"/>
    <w:pitch w:val="default"/>
    <w:sig w:usb0="E1002EFF" w:usb1="C000605B" w:usb2="00000029" w:usb3="00000000" w:csb0="200101FF" w:csb1="20280000"/>
  </w:font>
  <w:font w:name="华文宋体">
    <w:panose1 w:val="02010600040101010101"/>
    <w:charset w:val="86"/>
    <w:family w:val="auto"/>
    <w:pitch w:val="default"/>
    <w:sig w:usb0="00000287" w:usb1="080F0000" w:usb2="00000000" w:usb3="00000000" w:csb0="0004009F" w:csb1="DFD70000"/>
  </w:font>
  <w:font w:name="Symbol">
    <w:panose1 w:val="05050102010706020507"/>
    <w:charset w:val="00"/>
    <w:family w:val="auto"/>
    <w:pitch w:val="default"/>
    <w:sig w:usb0="00000000" w:usb1="00000000" w:usb2="00000000" w:usb3="00000000" w:csb0="80000000" w:csb1="00000000"/>
  </w:font>
  <w:font w:name="Hiragino Sans GB">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72D"/>
    <w:rsid w:val="0002592B"/>
    <w:rsid w:val="00032EED"/>
    <w:rsid w:val="000D669C"/>
    <w:rsid w:val="002A585F"/>
    <w:rsid w:val="00396FE7"/>
    <w:rsid w:val="003C7D58"/>
    <w:rsid w:val="003F468E"/>
    <w:rsid w:val="004B4FCA"/>
    <w:rsid w:val="0055172D"/>
    <w:rsid w:val="005D2BEF"/>
    <w:rsid w:val="006616D0"/>
    <w:rsid w:val="007D749F"/>
    <w:rsid w:val="008B0DEC"/>
    <w:rsid w:val="00A60284"/>
    <w:rsid w:val="00AC5616"/>
    <w:rsid w:val="00BC1141"/>
    <w:rsid w:val="00EC174E"/>
    <w:rsid w:val="00F45B39"/>
    <w:rsid w:val="00F92A01"/>
    <w:rsid w:val="09A357A4"/>
    <w:rsid w:val="0B8D01AE"/>
    <w:rsid w:val="196B5E35"/>
    <w:rsid w:val="1ED72865"/>
    <w:rsid w:val="213659E7"/>
    <w:rsid w:val="215F30F9"/>
    <w:rsid w:val="241B6B76"/>
    <w:rsid w:val="287B3E51"/>
    <w:rsid w:val="2AE16A41"/>
    <w:rsid w:val="2E7F68D8"/>
    <w:rsid w:val="331D4C2D"/>
    <w:rsid w:val="34A342A9"/>
    <w:rsid w:val="351504EF"/>
    <w:rsid w:val="3DF34C02"/>
    <w:rsid w:val="5038539E"/>
    <w:rsid w:val="52DB2395"/>
    <w:rsid w:val="53CA01FB"/>
    <w:rsid w:val="56076787"/>
    <w:rsid w:val="5E6E3967"/>
    <w:rsid w:val="61B4533B"/>
    <w:rsid w:val="668F39A3"/>
    <w:rsid w:val="671266F9"/>
    <w:rsid w:val="6C477530"/>
    <w:rsid w:val="7BB04A4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kern w:val="44"/>
      <w:sz w:val="48"/>
      <w:szCs w:val="48"/>
      <w:lang w:val="en-US" w:eastAsia="zh-CN" w:bidi="ar"/>
    </w:rPr>
  </w:style>
  <w:style w:type="character" w:default="1" w:styleId="9">
    <w:name w:val="Default Paragraph Font"/>
    <w:unhideWhenUsed/>
    <w:uiPriority w:val="1"/>
  </w:style>
  <w:style w:type="table" w:default="1" w:styleId="13">
    <w:name w:val="Normal Table"/>
    <w:unhideWhenUsed/>
    <w:uiPriority w:val="99"/>
    <w:tblPr>
      <w:tblLayout w:type="fixed"/>
      <w:tblCellMar>
        <w:top w:w="0" w:type="dxa"/>
        <w:left w:w="108" w:type="dxa"/>
        <w:bottom w:w="0" w:type="dxa"/>
        <w:right w:w="108" w:type="dxa"/>
      </w:tblCellMar>
    </w:tblPr>
  </w:style>
  <w:style w:type="paragraph" w:styleId="3">
    <w:name w:val="Date"/>
    <w:basedOn w:val="1"/>
    <w:next w:val="1"/>
    <w:link w:val="14"/>
    <w:unhideWhenUsed/>
    <w:uiPriority w:val="99"/>
    <w:pPr>
      <w:ind w:left="100" w:leftChars="2500"/>
    </w:pPr>
    <w:rPr>
      <w:b/>
      <w:sz w:val="48"/>
      <w:szCs w:val="48"/>
    </w:rPr>
  </w:style>
  <w:style w:type="paragraph" w:styleId="4">
    <w:name w:val="footer"/>
    <w:basedOn w:val="1"/>
    <w:unhideWhenUsed/>
    <w:uiPriority w:val="99"/>
    <w:pPr>
      <w:tabs>
        <w:tab w:val="center" w:pos="4153"/>
        <w:tab w:val="right" w:pos="8306"/>
      </w:tabs>
      <w:snapToGrid w:val="0"/>
      <w:jc w:val="left"/>
    </w:pPr>
    <w:rPr>
      <w:sz w:val="18"/>
    </w:rPr>
  </w:style>
  <w:style w:type="paragraph" w:styleId="5">
    <w:name w:val="header"/>
    <w:basedOn w:val="1"/>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unhideWhenUsed/>
    <w:uiPriority w:val="39"/>
  </w:style>
  <w:style w:type="paragraph" w:styleId="7">
    <w:name w:val="toc 2"/>
    <w:basedOn w:val="1"/>
    <w:next w:val="1"/>
    <w:unhideWhenUsed/>
    <w:uiPriority w:val="39"/>
    <w:pPr>
      <w:ind w:left="420" w:leftChars="200"/>
    </w:pPr>
  </w:style>
  <w:style w:type="paragraph" w:styleId="8">
    <w:name w:val="Normal (Web)"/>
    <w:basedOn w:val="1"/>
    <w:unhideWhenUsed/>
    <w:uiPriority w:val="99"/>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rPr>
  </w:style>
  <w:style w:type="character" w:styleId="11">
    <w:name w:val="FollowedHyperlink"/>
    <w:basedOn w:val="9"/>
    <w:unhideWhenUsed/>
    <w:uiPriority w:val="99"/>
    <w:rPr>
      <w:color w:val="003366"/>
      <w:u w:val="none"/>
    </w:rPr>
  </w:style>
  <w:style w:type="character" w:styleId="12">
    <w:name w:val="Hyperlink"/>
    <w:basedOn w:val="9"/>
    <w:unhideWhenUsed/>
    <w:uiPriority w:val="99"/>
    <w:rPr>
      <w:color w:val="003366"/>
      <w:u w:val="none"/>
    </w:rPr>
  </w:style>
  <w:style w:type="character" w:customStyle="1" w:styleId="14">
    <w:name w:val="日期字符"/>
    <w:basedOn w:val="9"/>
    <w:link w:val="3"/>
    <w:uiPriority w:val="99"/>
    <w:rPr>
      <w:b/>
      <w:sz w:val="48"/>
      <w:szCs w:val="48"/>
    </w:rPr>
  </w:style>
  <w:style w:type="paragraph" w:styleId="15">
    <w:name w:val="List Paragraph"/>
    <w:basedOn w:val="1"/>
    <w:qFormat/>
    <w:uiPriority w:val="34"/>
    <w:pPr>
      <w:ind w:firstLine="420" w:firstLineChars="200"/>
    </w:pPr>
  </w:style>
  <w:style w:type="character" w:customStyle="1" w:styleId="16">
    <w:name w:val="language"/>
    <w:basedOn w:val="9"/>
    <w:uiPriority w:val="0"/>
  </w:style>
  <w:style w:type="character" w:customStyle="1" w:styleId="17">
    <w:name w:val="moduletitle_menuitemsel"/>
    <w:basedOn w:val="9"/>
    <w:uiPriority w:val="0"/>
    <w:rPr>
      <w:rFonts w:ascii="Tahoma" w:hAnsi="Tahoma" w:eastAsia="Tahoma" w:cs="Tahoma"/>
      <w:b/>
      <w:color w:val="000000"/>
      <w:sz w:val="18"/>
      <w:szCs w:val="18"/>
    </w:rPr>
  </w:style>
  <w:style w:type="character" w:customStyle="1" w:styleId="18">
    <w:name w:val="bsharetext"/>
    <w:basedOn w:val="9"/>
    <w:uiPriority w:val="0"/>
  </w:style>
  <w:style w:type="character" w:customStyle="1" w:styleId="19">
    <w:name w:val="language2"/>
    <w:basedOn w:val="9"/>
    <w:uiPriority w:val="0"/>
  </w:style>
  <w:style w:type="character" w:customStyle="1" w:styleId="20">
    <w:name w:val="r4"/>
    <w:basedOn w:val="9"/>
    <w:uiPriority w:val="0"/>
  </w:style>
  <w:style w:type="character" w:customStyle="1" w:styleId="21">
    <w:name w:val="r5"/>
    <w:basedOn w:val="9"/>
    <w:uiPriority w:val="0"/>
  </w:style>
  <w:style w:type="character" w:customStyle="1" w:styleId="22">
    <w:name w:val="gz"/>
    <w:basedOn w:val="9"/>
    <w:uiPriority w:val="0"/>
  </w:style>
  <w:style w:type="character" w:customStyle="1" w:styleId="23">
    <w:name w:val="app"/>
    <w:basedOn w:val="9"/>
    <w:uiPriority w:val="0"/>
  </w:style>
  <w:style w:type="character" w:customStyle="1" w:styleId="24">
    <w:name w:val="hover6"/>
    <w:basedOn w:val="9"/>
    <w:qFormat/>
    <w:uiPriority w:val="0"/>
    <w:rPr>
      <w:shd w:val="clear" w:fill="E4393C"/>
    </w:rPr>
  </w:style>
  <w:style w:type="character" w:customStyle="1" w:styleId="25">
    <w:name w:val="l2"/>
    <w:basedOn w:val="9"/>
    <w:uiPriority w:val="0"/>
  </w:style>
  <w:style w:type="character" w:customStyle="1" w:styleId="26">
    <w:name w:val="l3"/>
    <w:basedOn w:val="9"/>
    <w:uiPriority w:val="0"/>
  </w:style>
  <w:style w:type="character" w:customStyle="1" w:styleId="27">
    <w:name w:val="error"/>
    <w:basedOn w:val="9"/>
    <w:uiPriority w:val="0"/>
    <w:rPr>
      <w:color w:val="FF0000"/>
      <w:sz w:val="18"/>
      <w:szCs w:val="18"/>
    </w:rPr>
  </w:style>
  <w:style w:type="character" w:customStyle="1" w:styleId="28">
    <w:name w:val="l"/>
    <w:basedOn w:val="9"/>
    <w:uiPriority w:val="0"/>
  </w:style>
  <w:style w:type="character" w:customStyle="1" w:styleId="29">
    <w:name w:val="l1"/>
    <w:basedOn w:val="9"/>
    <w:uiPriority w:val="0"/>
  </w:style>
  <w:style w:type="character" w:customStyle="1" w:styleId="30">
    <w:name w:val="r"/>
    <w:basedOn w:val="9"/>
    <w:uiPriority w:val="0"/>
  </w:style>
  <w:style w:type="character" w:customStyle="1" w:styleId="31">
    <w:name w:val="r1"/>
    <w:basedOn w:val="9"/>
    <w:uiPriority w:val="0"/>
  </w:style>
  <w:style w:type="character" w:customStyle="1" w:styleId="32">
    <w:name w:val="fr3"/>
    <w:basedOn w:val="9"/>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办公室">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办公室">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办公室">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88</Words>
  <Characters>504</Characters>
  <Lines>4</Lines>
  <Paragraphs>1</Paragraphs>
  <ScaleCrop>false</ScaleCrop>
  <LinksUpToDate>false</LinksUpToDate>
  <CharactersWithSpaces>591</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2017-09-14T08:57:00Z</dcterms:created>
  <dc:creator>air z</dc:creator>
  <cp:lastModifiedBy>任婷婷</cp:lastModifiedBy>
  <dcterms:modified xsi:type="dcterms:W3CDTF">2018-03-01T09:44:33Z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